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76CF5">
      <w:pPr>
        <w:adjustRightInd w:val="0"/>
        <w:snapToGrid w:val="0"/>
        <w:spacing w:line="460" w:lineRule="exact"/>
        <w:rPr>
          <w:rFonts w:hint="eastAsia" w:eastAsia="黑体"/>
          <w:color w:val="000000"/>
          <w:lang w:eastAsia="zh-CN"/>
        </w:rPr>
      </w:pPr>
      <w:r>
        <w:rPr>
          <w:rFonts w:hint="eastAsia" w:eastAsia="黑体" w:cs="仿宋_GB2312"/>
          <w:color w:val="000000"/>
          <w:sz w:val="32"/>
          <w:szCs w:val="28"/>
        </w:rPr>
        <w:t>附件1</w:t>
      </w:r>
      <w:r>
        <w:rPr>
          <w:rFonts w:hint="eastAsia" w:eastAsia="黑体" w:cs="仿宋_GB2312"/>
          <w:color w:val="000000"/>
          <w:sz w:val="32"/>
          <w:szCs w:val="28"/>
          <w:lang w:eastAsia="zh-CN"/>
        </w:rPr>
        <w:t>：</w:t>
      </w:r>
    </w:p>
    <w:p w14:paraId="451913F6">
      <w:pPr>
        <w:widowControl/>
        <w:spacing w:line="460" w:lineRule="exact"/>
        <w:ind w:firstLine="420" w:firstLineChars="200"/>
        <w:jc w:val="left"/>
        <w:rPr>
          <w:rFonts w:hint="eastAsia"/>
        </w:rPr>
      </w:pPr>
    </w:p>
    <w:p w14:paraId="210BFF1C">
      <w:pPr>
        <w:spacing w:line="460" w:lineRule="exact"/>
        <w:ind w:firstLine="720" w:firstLineChars="20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“诵读中国”经典诵读大赛（上海赛区）比赛要求</w:t>
      </w:r>
    </w:p>
    <w:p w14:paraId="08C2C171">
      <w:pPr>
        <w:spacing w:line="460" w:lineRule="exact"/>
        <w:ind w:firstLine="720" w:firstLineChars="200"/>
        <w:jc w:val="center"/>
        <w:rPr>
          <w:rFonts w:hint="eastAsia" w:ascii="仿宋" w:hAnsi="仿宋" w:eastAsia="仿宋" w:cs="仿宋"/>
          <w:b/>
          <w:bCs/>
          <w:color w:val="000000"/>
          <w:sz w:val="36"/>
          <w:szCs w:val="36"/>
        </w:rPr>
      </w:pPr>
    </w:p>
    <w:p w14:paraId="2B0F8302">
      <w:pPr>
        <w:numPr>
          <w:ilvl w:val="0"/>
          <w:numId w:val="1"/>
        </w:numPr>
        <w:spacing w:line="46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参赛对象与组别</w:t>
      </w:r>
    </w:p>
    <w:p w14:paraId="1909D7B4">
      <w:pPr>
        <w:spacing w:line="560" w:lineRule="exact"/>
        <w:ind w:firstLine="600"/>
        <w:rPr>
          <w:rFonts w:hint="eastAsia" w:ascii="仿宋_GB2312" w:hAnsi="Times New Roman" w:eastAsia="仿宋_GB2312" w:cs="Times New Roman"/>
          <w:color w:val="000000"/>
          <w:kern w:val="0"/>
          <w:sz w:val="30"/>
          <w:szCs w:val="30"/>
        </w:rPr>
      </w:pPr>
      <w:r>
        <w:rPr>
          <w:rFonts w:hint="eastAsia" w:ascii="仿宋_GB2312" w:hAnsi="Times New Roman" w:eastAsia="仿宋_GB2312" w:cs="Times New Roman"/>
          <w:color w:val="000000"/>
          <w:kern w:val="0"/>
          <w:sz w:val="30"/>
          <w:szCs w:val="30"/>
        </w:rPr>
        <w:t>参赛对象为我校在校教师与学生，分为教师组和大学生组。</w:t>
      </w:r>
    </w:p>
    <w:p w14:paraId="2794E917">
      <w:pPr>
        <w:adjustRightInd w:val="0"/>
        <w:snapToGrid w:val="0"/>
        <w:spacing w:line="460" w:lineRule="exact"/>
        <w:ind w:firstLine="560" w:firstLineChars="200"/>
        <w:rPr>
          <w:rFonts w:hint="eastAsia" w:ascii="仿宋" w:hAnsi="仿宋" w:eastAsia="仿宋" w:cs="仿宋"/>
          <w:color w:val="000000"/>
          <w:sz w:val="28"/>
          <w:szCs w:val="28"/>
        </w:rPr>
      </w:pPr>
    </w:p>
    <w:p w14:paraId="71E0AA7D">
      <w:pPr>
        <w:spacing w:line="4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二、参赛要求</w:t>
      </w:r>
    </w:p>
    <w:p w14:paraId="6418E0CC">
      <w:pPr>
        <w:spacing w:line="560" w:lineRule="exact"/>
        <w:ind w:firstLine="600"/>
        <w:rPr>
          <w:color w:val="000000"/>
          <w:kern w:val="0"/>
          <w:szCs w:val="21"/>
        </w:rPr>
      </w:pPr>
      <w:r>
        <w:rPr>
          <w:rFonts w:hint="eastAsia" w:ascii="楷体_GB2312" w:eastAsia="楷体_GB2312"/>
          <w:color w:val="000000"/>
          <w:kern w:val="0"/>
          <w:sz w:val="30"/>
          <w:szCs w:val="30"/>
        </w:rPr>
        <w:t>（一）内容要求</w:t>
      </w:r>
    </w:p>
    <w:p w14:paraId="64719740">
      <w:pPr>
        <w:spacing w:line="560" w:lineRule="exact"/>
        <w:ind w:firstLine="600"/>
        <w:rPr>
          <w:color w:val="000000"/>
          <w:kern w:val="0"/>
          <w:szCs w:val="21"/>
        </w:rPr>
      </w:pPr>
      <w:r>
        <w:rPr>
          <w:rFonts w:hint="eastAsia" w:ascii="仿宋_GB2312" w:eastAsia="仿宋_GB2312"/>
          <w:color w:val="000000"/>
          <w:kern w:val="0"/>
          <w:sz w:val="30"/>
          <w:szCs w:val="30"/>
        </w:rPr>
        <w:t>我国古代、近现代和当代有社会影响力和典范价值的，体现中华优秀文化的经典诗词、文章和优秀图书内容节选。当代作品应已正式出版或由省级以上广播电视等主流媒体公开发布或发表，</w:t>
      </w:r>
      <w:r>
        <w:rPr>
          <w:rFonts w:ascii="仿宋_GB2312" w:eastAsia="仿宋_GB2312"/>
          <w:color w:val="000000"/>
          <w:kern w:val="0"/>
          <w:sz w:val="30"/>
          <w:szCs w:val="30"/>
        </w:rPr>
        <w:t>出版、</w:t>
      </w:r>
      <w:bookmarkStart w:id="0" w:name="OLE_LINK4"/>
      <w:r>
        <w:rPr>
          <w:rFonts w:ascii="仿宋_GB2312" w:eastAsia="仿宋_GB2312"/>
          <w:color w:val="000000"/>
          <w:kern w:val="0"/>
          <w:sz w:val="30"/>
          <w:szCs w:val="30"/>
        </w:rPr>
        <w:t>发表时间至少</w:t>
      </w:r>
      <w:r>
        <w:rPr>
          <w:color w:val="000000"/>
          <w:kern w:val="0"/>
          <w:sz w:val="30"/>
          <w:szCs w:val="30"/>
        </w:rPr>
        <w:t>2</w:t>
      </w:r>
      <w:r>
        <w:rPr>
          <w:rFonts w:ascii="仿宋_GB2312" w:eastAsia="仿宋_GB2312"/>
          <w:color w:val="000000"/>
          <w:kern w:val="0"/>
          <w:sz w:val="30"/>
          <w:szCs w:val="30"/>
        </w:rPr>
        <w:t>年以上，并被广泛传播。</w:t>
      </w:r>
      <w:bookmarkEnd w:id="0"/>
      <w:r>
        <w:rPr>
          <w:rFonts w:hint="eastAsia" w:ascii="仿宋_GB2312" w:eastAsia="仿宋_GB2312"/>
          <w:color w:val="000000"/>
          <w:kern w:val="0"/>
          <w:sz w:val="30"/>
          <w:szCs w:val="30"/>
        </w:rPr>
        <w:t>中小学生（含中职）参赛者可优先从统编语文教材中选择作品。诵读文本主体前后可根据需要增加总计不超过200字的过渡语（计入总时长）。改编、网络以及自创文本不在征集之列。</w:t>
      </w:r>
    </w:p>
    <w:p w14:paraId="1B0AD6A3">
      <w:pPr>
        <w:spacing w:line="560" w:lineRule="exact"/>
        <w:ind w:firstLine="600"/>
        <w:rPr>
          <w:color w:val="000000"/>
          <w:kern w:val="0"/>
          <w:szCs w:val="21"/>
        </w:rPr>
      </w:pPr>
      <w:r>
        <w:rPr>
          <w:rFonts w:hint="eastAsia" w:ascii="楷体_GB2312" w:eastAsia="楷体_GB2312"/>
          <w:color w:val="000000"/>
          <w:kern w:val="0"/>
          <w:sz w:val="30"/>
          <w:szCs w:val="30"/>
        </w:rPr>
        <w:t>（二）形式要求</w:t>
      </w:r>
    </w:p>
    <w:p w14:paraId="1A5AAB36">
      <w:pPr>
        <w:spacing w:line="56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参赛作品要求为2025年新创作录制的视频，高清1920*1080横屏拍摄，格式为MP4，长度为3-6分钟，大小不超过700MB，图像、声音清晰，不抖动、无噪音。视频作品必须同期录音，不得后期配音。</w:t>
      </w:r>
      <w:r>
        <w:rPr>
          <w:rFonts w:ascii="仿宋_GB2312" w:eastAsia="仿宋_GB2312"/>
          <w:color w:val="000000"/>
          <w:kern w:val="0"/>
          <w:sz w:val="30"/>
          <w:szCs w:val="30"/>
        </w:rPr>
        <w:t>录制仅限</w:t>
      </w:r>
      <w:r>
        <w:rPr>
          <w:rFonts w:hint="eastAsia" w:ascii="仿宋_GB2312" w:eastAsia="仿宋_GB2312"/>
          <w:color w:val="000000"/>
          <w:kern w:val="0"/>
          <w:sz w:val="30"/>
          <w:szCs w:val="30"/>
        </w:rPr>
        <w:t>一个</w:t>
      </w:r>
      <w:r>
        <w:rPr>
          <w:rFonts w:ascii="仿宋_GB2312" w:eastAsia="仿宋_GB2312"/>
          <w:color w:val="000000"/>
          <w:kern w:val="0"/>
          <w:sz w:val="30"/>
          <w:szCs w:val="30"/>
        </w:rPr>
        <w:t>场</w:t>
      </w:r>
      <w:r>
        <w:rPr>
          <w:rFonts w:hint="eastAsia" w:ascii="仿宋_GB2312" w:eastAsia="仿宋_GB2312"/>
          <w:color w:val="000000"/>
          <w:kern w:val="0"/>
          <w:sz w:val="30"/>
          <w:szCs w:val="30"/>
        </w:rPr>
        <w:t>地</w:t>
      </w:r>
      <w:r>
        <w:rPr>
          <w:rFonts w:ascii="仿宋_GB2312" w:eastAsia="仿宋_GB2312"/>
          <w:color w:val="000000"/>
          <w:kern w:val="0"/>
          <w:sz w:val="30"/>
          <w:szCs w:val="30"/>
        </w:rPr>
        <w:t>，不得</w:t>
      </w:r>
      <w:r>
        <w:rPr>
          <w:rFonts w:hint="eastAsia" w:ascii="仿宋_GB2312" w:eastAsia="仿宋_GB2312"/>
          <w:color w:val="000000"/>
          <w:kern w:val="0"/>
          <w:sz w:val="30"/>
          <w:szCs w:val="30"/>
        </w:rPr>
        <w:t>切换</w:t>
      </w:r>
      <w:r>
        <w:rPr>
          <w:rFonts w:ascii="仿宋_GB2312" w:eastAsia="仿宋_GB2312"/>
          <w:color w:val="000000"/>
          <w:kern w:val="0"/>
          <w:sz w:val="30"/>
          <w:szCs w:val="30"/>
        </w:rPr>
        <w:t>多个场地</w:t>
      </w:r>
      <w:r>
        <w:rPr>
          <w:rFonts w:hint="eastAsia" w:ascii="仿宋_GB2312" w:eastAsia="仿宋_GB2312"/>
          <w:color w:val="000000"/>
          <w:kern w:val="0"/>
          <w:sz w:val="30"/>
          <w:szCs w:val="30"/>
        </w:rPr>
        <w:t>。</w:t>
      </w:r>
    </w:p>
    <w:p w14:paraId="3B697081">
      <w:pPr>
        <w:spacing w:line="560" w:lineRule="exact"/>
        <w:ind w:firstLine="600"/>
        <w:rPr>
          <w:color w:val="000000"/>
          <w:kern w:val="0"/>
          <w:szCs w:val="21"/>
        </w:rPr>
      </w:pPr>
      <w:r>
        <w:rPr>
          <w:rFonts w:hint="eastAsia" w:ascii="仿宋_GB2312" w:eastAsia="仿宋_GB2312"/>
          <w:color w:val="000000"/>
          <w:kern w:val="0"/>
          <w:sz w:val="30"/>
          <w:szCs w:val="30"/>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14:paraId="240D56E1">
      <w:pPr>
        <w:spacing w:line="560" w:lineRule="exact"/>
        <w:ind w:firstLine="600"/>
        <w:rPr>
          <w:color w:val="000000"/>
          <w:kern w:val="0"/>
          <w:szCs w:val="21"/>
        </w:rPr>
      </w:pPr>
      <w:r>
        <w:rPr>
          <w:rFonts w:hint="eastAsia" w:ascii="楷体_GB2312" w:eastAsia="楷体_GB2312"/>
          <w:color w:val="000000"/>
          <w:kern w:val="0"/>
          <w:sz w:val="30"/>
          <w:szCs w:val="30"/>
        </w:rPr>
        <w:t>（三）其他要求</w:t>
      </w:r>
    </w:p>
    <w:p w14:paraId="5A306495">
      <w:pPr>
        <w:spacing w:line="560" w:lineRule="exact"/>
        <w:ind w:firstLine="600"/>
        <w:rPr>
          <w:color w:val="000000"/>
          <w:kern w:val="0"/>
          <w:szCs w:val="21"/>
        </w:rPr>
      </w:pPr>
      <w:r>
        <w:rPr>
          <w:rFonts w:hint="eastAsia" w:ascii="仿宋_GB2312" w:eastAsia="仿宋_GB2312"/>
          <w:color w:val="000000"/>
          <w:kern w:val="0"/>
          <w:sz w:val="30"/>
          <w:szCs w:val="30"/>
        </w:rPr>
        <w:t>在以诵读为主的基础上，作品可适当借助吟诵、音乐、服装等手段融合展现诵读内容。鼓励以团队形式诵读，团队人数不超过20人。</w:t>
      </w:r>
    </w:p>
    <w:p w14:paraId="36BB9D7D">
      <w:pPr>
        <w:spacing w:line="560" w:lineRule="exact"/>
        <w:ind w:firstLine="600"/>
        <w:rPr>
          <w:color w:val="000000"/>
          <w:kern w:val="0"/>
          <w:szCs w:val="21"/>
        </w:rPr>
      </w:pPr>
      <w:r>
        <w:rPr>
          <w:rFonts w:hint="eastAsia" w:ascii="仿宋_GB2312" w:eastAsia="仿宋_GB2312"/>
          <w:color w:val="000000"/>
          <w:kern w:val="0"/>
          <w:sz w:val="30"/>
          <w:szCs w:val="30"/>
        </w:rPr>
        <w:t>每人最多可参与个人或团队诵读作品1个。每个作品指导教师不超过2人，同一作品的参赛者不得同时署名该作品的指导教师。指导教师应当具备相应的专业能力，能为参赛者提供专业指导。多个作品获得一等奖的同一指导老师不重复获得优秀指导教师奖。</w:t>
      </w:r>
    </w:p>
    <w:p w14:paraId="6D54ADFF">
      <w:pPr>
        <w:spacing w:line="560" w:lineRule="exact"/>
        <w:ind w:firstLine="600"/>
        <w:rPr>
          <w:color w:val="000000"/>
          <w:kern w:val="0"/>
          <w:szCs w:val="21"/>
        </w:rPr>
      </w:pPr>
      <w:bookmarkStart w:id="1" w:name="OLE_LINK7"/>
      <w:r>
        <w:rPr>
          <w:rFonts w:hint="eastAsia" w:ascii="仿宋_GB2312" w:eastAsia="仿宋_GB2312"/>
          <w:color w:val="000000"/>
          <w:kern w:val="0"/>
          <w:sz w:val="30"/>
          <w:szCs w:val="30"/>
        </w:rPr>
        <w:t>参赛者应使用规范汉字准确填写姓名、作品名称、所在单位或学校等信息。</w:t>
      </w:r>
      <w:bookmarkEnd w:id="1"/>
      <w:r>
        <w:rPr>
          <w:rFonts w:hint="eastAsia" w:ascii="仿宋_GB2312" w:eastAsia="仿宋_GB2312"/>
          <w:color w:val="000000"/>
          <w:kern w:val="0"/>
          <w:sz w:val="30"/>
          <w:szCs w:val="30"/>
        </w:rPr>
        <w:t>作品上传时间截止后，相关信息不得更改。</w:t>
      </w:r>
    </w:p>
    <w:p w14:paraId="5FB75FD4">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75ADD7EB">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381A722F">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39607428">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2E06037E">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4167D84C">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7BE3524A">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3D320FF2">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149829A8">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56A98D24">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4EC57903">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3FDD1CE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5F9A22B3">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2766FEC1">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7E636414">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p>
    <w:p w14:paraId="001F6C9F">
      <w:pPr>
        <w:adjustRightInd w:val="0"/>
        <w:snapToGrid w:val="0"/>
        <w:spacing w:line="460" w:lineRule="exact"/>
        <w:rPr>
          <w:rFonts w:hint="eastAsia" w:eastAsia="黑体"/>
          <w:color w:val="000000"/>
          <w:lang w:eastAsia="zh-CN"/>
        </w:rPr>
      </w:pPr>
      <w:r>
        <w:rPr>
          <w:rFonts w:hint="eastAsia" w:eastAsia="黑体" w:cs="仿宋_GB2312"/>
          <w:color w:val="000000"/>
          <w:sz w:val="32"/>
          <w:szCs w:val="28"/>
        </w:rPr>
        <w:t>附件2</w:t>
      </w:r>
      <w:r>
        <w:rPr>
          <w:rFonts w:hint="eastAsia" w:eastAsia="黑体" w:cs="仿宋_GB2312"/>
          <w:color w:val="000000"/>
          <w:sz w:val="32"/>
          <w:szCs w:val="28"/>
          <w:lang w:eastAsia="zh-CN"/>
        </w:rPr>
        <w:t>：</w:t>
      </w:r>
    </w:p>
    <w:p w14:paraId="3D4EAEB8">
      <w:pPr>
        <w:widowControl/>
        <w:spacing w:line="460" w:lineRule="exact"/>
        <w:ind w:firstLine="420" w:firstLineChars="200"/>
        <w:jc w:val="left"/>
        <w:rPr>
          <w:rFonts w:hint="eastAsia"/>
        </w:rPr>
      </w:pPr>
    </w:p>
    <w:p w14:paraId="57C5DB7B">
      <w:pPr>
        <w:spacing w:line="460" w:lineRule="exact"/>
        <w:ind w:firstLine="720" w:firstLineChars="20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“诗教中国”诗词讲解大赛（上海赛区）比赛要求 </w:t>
      </w:r>
    </w:p>
    <w:p w14:paraId="52EC9DEA">
      <w:pPr>
        <w:spacing w:line="460" w:lineRule="exact"/>
        <w:ind w:firstLine="720" w:firstLineChars="200"/>
        <w:jc w:val="center"/>
        <w:rPr>
          <w:rFonts w:hint="eastAsia" w:ascii="仿宋" w:hAnsi="仿宋" w:eastAsia="仿宋" w:cs="仿宋"/>
          <w:b/>
          <w:bCs/>
          <w:color w:val="000000"/>
          <w:sz w:val="36"/>
          <w:szCs w:val="36"/>
        </w:rPr>
      </w:pPr>
    </w:p>
    <w:p w14:paraId="333CD758">
      <w:pPr>
        <w:spacing w:line="46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一、参赛对象与组别</w:t>
      </w:r>
    </w:p>
    <w:p w14:paraId="370E630D">
      <w:pPr>
        <w:widowControl/>
        <w:spacing w:line="580" w:lineRule="exact"/>
        <w:ind w:firstLine="600"/>
        <w:rPr>
          <w:rFonts w:hint="eastAsia" w:ascii="仿宋_GB2312" w:hAnsi="Times New Roman" w:eastAsia="仿宋_GB2312" w:cs="Times New Roman"/>
          <w:color w:val="000000"/>
          <w:kern w:val="0"/>
          <w:sz w:val="30"/>
          <w:szCs w:val="30"/>
        </w:rPr>
      </w:pPr>
      <w:r>
        <w:rPr>
          <w:rFonts w:hint="eastAsia" w:ascii="仿宋_GB2312" w:hAnsi="Times New Roman" w:eastAsia="仿宋_GB2312" w:cs="Times New Roman"/>
          <w:color w:val="000000"/>
          <w:kern w:val="0"/>
          <w:sz w:val="30"/>
          <w:szCs w:val="30"/>
        </w:rPr>
        <w:t>参赛对象为我校在校教师与学生，分为教师组和大学生组。</w:t>
      </w:r>
    </w:p>
    <w:p w14:paraId="56AE92BB">
      <w:pPr>
        <w:adjustRightInd w:val="0"/>
        <w:snapToGrid w:val="0"/>
        <w:spacing w:line="460" w:lineRule="exact"/>
        <w:ind w:firstLine="560" w:firstLineChars="200"/>
        <w:rPr>
          <w:rFonts w:hint="eastAsia" w:ascii="仿宋" w:hAnsi="仿宋" w:eastAsia="仿宋" w:cs="仿宋"/>
          <w:color w:val="000000"/>
          <w:sz w:val="28"/>
          <w:szCs w:val="28"/>
        </w:rPr>
      </w:pPr>
    </w:p>
    <w:p w14:paraId="28B8CB7B">
      <w:pPr>
        <w:spacing w:line="460" w:lineRule="exact"/>
        <w:ind w:firstLine="600" w:firstLineChars="200"/>
        <w:rPr>
          <w:rFonts w:ascii="黑体" w:hAnsi="黑体" w:eastAsia="黑体"/>
          <w:color w:val="000000"/>
          <w:sz w:val="30"/>
          <w:szCs w:val="30"/>
        </w:rPr>
      </w:pPr>
      <w:r>
        <w:rPr>
          <w:rFonts w:hint="eastAsia" w:ascii="黑体" w:hAnsi="黑体" w:eastAsia="黑体"/>
          <w:color w:val="000000"/>
          <w:sz w:val="30"/>
          <w:szCs w:val="30"/>
        </w:rPr>
        <w:t>二、参赛要求</w:t>
      </w:r>
    </w:p>
    <w:p w14:paraId="72CB8A09">
      <w:pPr>
        <w:widowControl/>
        <w:spacing w:line="580" w:lineRule="exact"/>
        <w:ind w:firstLine="600"/>
        <w:rPr>
          <w:color w:val="000000"/>
          <w:kern w:val="0"/>
          <w:szCs w:val="21"/>
        </w:rPr>
      </w:pPr>
      <w:r>
        <w:rPr>
          <w:rFonts w:hint="eastAsia" w:ascii="楷体_GB2312" w:eastAsia="楷体_GB2312"/>
          <w:color w:val="000000"/>
          <w:kern w:val="0"/>
          <w:sz w:val="30"/>
          <w:szCs w:val="30"/>
        </w:rPr>
        <w:t>（一）内容要求</w:t>
      </w:r>
    </w:p>
    <w:p w14:paraId="0FEA014F">
      <w:pPr>
        <w:widowControl/>
        <w:spacing w:line="580" w:lineRule="exact"/>
        <w:ind w:firstLine="600"/>
        <w:rPr>
          <w:color w:val="000000"/>
          <w:kern w:val="0"/>
          <w:szCs w:val="21"/>
        </w:rPr>
      </w:pPr>
      <w:r>
        <w:rPr>
          <w:rFonts w:hint="eastAsia" w:ascii="仿宋_GB2312" w:eastAsia="仿宋_GB2312"/>
          <w:color w:val="000000"/>
          <w:kern w:val="0"/>
          <w:sz w:val="30"/>
          <w:szCs w:val="30"/>
        </w:rPr>
        <w:t>讲解须使用国家通用语言文字，内容应选自中小学（含中职）统编语文教材、普通高等教育国家级规划教材及高等职业教育国家规划教材的大学语文教材中的一首经典诗词作品。</w:t>
      </w:r>
    </w:p>
    <w:p w14:paraId="5B30C32B">
      <w:pPr>
        <w:widowControl/>
        <w:spacing w:line="580" w:lineRule="exact"/>
        <w:ind w:firstLine="600"/>
        <w:rPr>
          <w:color w:val="000000"/>
          <w:kern w:val="0"/>
          <w:szCs w:val="21"/>
        </w:rPr>
      </w:pPr>
      <w:r>
        <w:rPr>
          <w:rFonts w:hint="eastAsia" w:ascii="仿宋_GB2312" w:eastAsia="仿宋_GB2312"/>
          <w:color w:val="000000"/>
          <w:kern w:val="0"/>
          <w:sz w:val="30"/>
          <w:szCs w:val="30"/>
        </w:rPr>
        <w:t>参赛教师应广泛阅读相关书籍，按照课堂教学相关要求，遵循诗词教育基本规律和学术规范，录制以诗词教学为主要内容的微课视频。</w:t>
      </w:r>
    </w:p>
    <w:p w14:paraId="109BBB6A">
      <w:pPr>
        <w:widowControl/>
        <w:spacing w:line="580" w:lineRule="exact"/>
        <w:ind w:firstLine="600"/>
        <w:rPr>
          <w:color w:val="000000"/>
          <w:kern w:val="0"/>
          <w:szCs w:val="21"/>
        </w:rPr>
      </w:pPr>
      <w:r>
        <w:rPr>
          <w:rFonts w:hint="eastAsia" w:ascii="仿宋_GB2312" w:eastAsia="仿宋_GB2312"/>
          <w:color w:val="000000"/>
          <w:kern w:val="0"/>
          <w:sz w:val="30"/>
          <w:szCs w:val="30"/>
        </w:rPr>
        <w:t>参赛学生应广泛阅读相关书籍，结合个人经历与感受，讲解诗词作品，并阐述诗词的意义与价值，使用多媒体及其他创新形式录制讲解视频。</w:t>
      </w:r>
    </w:p>
    <w:p w14:paraId="6829A2DB">
      <w:pPr>
        <w:widowControl/>
        <w:spacing w:line="580" w:lineRule="exact"/>
        <w:ind w:firstLine="600"/>
        <w:rPr>
          <w:color w:val="000000"/>
          <w:kern w:val="0"/>
          <w:szCs w:val="21"/>
        </w:rPr>
      </w:pPr>
      <w:r>
        <w:rPr>
          <w:rFonts w:hint="eastAsia" w:ascii="楷体_GB2312" w:eastAsia="楷体_GB2312"/>
          <w:color w:val="000000"/>
          <w:kern w:val="0"/>
          <w:sz w:val="30"/>
          <w:szCs w:val="30"/>
        </w:rPr>
        <w:t>（二）形式要求</w:t>
      </w:r>
    </w:p>
    <w:p w14:paraId="038BF009">
      <w:pPr>
        <w:widowControl/>
        <w:spacing w:line="580" w:lineRule="exact"/>
        <w:ind w:firstLine="600"/>
        <w:rPr>
          <w:color w:val="000000"/>
          <w:kern w:val="0"/>
          <w:szCs w:val="21"/>
        </w:rPr>
      </w:pPr>
      <w:r>
        <w:rPr>
          <w:rFonts w:hint="eastAsia" w:ascii="仿宋_GB2312" w:eastAsia="仿宋_GB2312"/>
          <w:color w:val="000000"/>
          <w:kern w:val="0"/>
          <w:sz w:val="30"/>
          <w:szCs w:val="30"/>
        </w:rPr>
        <w:t>参赛作品要求为2025年新创作录制的视频，横屏拍摄，格式为MP4，教师组视频长度为</w:t>
      </w:r>
      <w:r>
        <w:rPr>
          <w:rFonts w:hint="eastAsia" w:eastAsia="仿宋_GB2312"/>
          <w:color w:val="000000"/>
          <w:kern w:val="0"/>
          <w:sz w:val="30"/>
          <w:szCs w:val="30"/>
        </w:rPr>
        <w:t>8</w:t>
      </w:r>
      <w:r>
        <w:rPr>
          <w:rFonts w:hint="eastAsia" w:ascii="仿宋_GB2312" w:eastAsia="仿宋_GB2312"/>
          <w:color w:val="000000"/>
          <w:kern w:val="0"/>
          <w:sz w:val="30"/>
          <w:szCs w:val="30"/>
        </w:rPr>
        <w:t>分钟以内，学生组视频长度为</w:t>
      </w:r>
      <w:r>
        <w:rPr>
          <w:rFonts w:hint="eastAsia" w:eastAsia="仿宋_GB2312"/>
          <w:color w:val="000000"/>
          <w:kern w:val="0"/>
          <w:sz w:val="30"/>
          <w:szCs w:val="30"/>
        </w:rPr>
        <w:t>5</w:t>
      </w:r>
      <w:r>
        <w:rPr>
          <w:rFonts w:hint="eastAsia" w:ascii="仿宋_GB2312" w:eastAsia="仿宋_GB2312"/>
          <w:color w:val="000000"/>
          <w:kern w:val="0"/>
          <w:sz w:val="30"/>
          <w:szCs w:val="30"/>
        </w:rPr>
        <w:t>分钟以内。视频清晰度不低于720P，大小不超过700MB，图像、声音清晰，不抖动、无噪音，参赛者须出镜。</w:t>
      </w:r>
    </w:p>
    <w:p w14:paraId="28914108">
      <w:pPr>
        <w:widowControl/>
        <w:spacing w:line="580" w:lineRule="exact"/>
        <w:ind w:firstLine="600"/>
        <w:rPr>
          <w:color w:val="000000"/>
          <w:kern w:val="0"/>
          <w:szCs w:val="21"/>
        </w:rPr>
      </w:pPr>
      <w:r>
        <w:rPr>
          <w:rFonts w:hint="eastAsia" w:ascii="仿宋_GB2312" w:eastAsia="仿宋_GB2312"/>
          <w:color w:val="000000"/>
          <w:kern w:val="0"/>
          <w:sz w:val="30"/>
          <w:szCs w:val="30"/>
        </w:rPr>
        <w:t>视频开头以文字方式展示作品名称、组别、诗词题目等信息，信息须正确、规范，与赛事平台填报信息一致。不可出现参赛者姓名、指导教师姓名、学校或单位等信息。视频文字建议使用方正字库字体或其他有版权的字体。视频中不得使用未经肖像权人同意的肖像，不得使用未经授权的图片、视频和音频，应使用正确表示国家版图的地图，不得出现与大赛无关的条幅、角标等。</w:t>
      </w:r>
    </w:p>
    <w:p w14:paraId="6B7ED0D5">
      <w:pPr>
        <w:widowControl/>
        <w:spacing w:line="580" w:lineRule="exact"/>
        <w:ind w:firstLine="600"/>
        <w:rPr>
          <w:color w:val="000000"/>
          <w:kern w:val="0"/>
          <w:szCs w:val="21"/>
        </w:rPr>
      </w:pPr>
      <w:r>
        <w:rPr>
          <w:rFonts w:hint="eastAsia" w:ascii="楷体_GB2312" w:eastAsia="楷体_GB2312"/>
          <w:color w:val="000000"/>
          <w:kern w:val="0"/>
          <w:sz w:val="30"/>
          <w:szCs w:val="30"/>
        </w:rPr>
        <w:t>（三）提交要求</w:t>
      </w:r>
    </w:p>
    <w:p w14:paraId="33084445">
      <w:pPr>
        <w:widowControl/>
        <w:spacing w:line="580" w:lineRule="exact"/>
        <w:ind w:firstLine="600"/>
        <w:rPr>
          <w:color w:val="000000"/>
          <w:kern w:val="0"/>
          <w:szCs w:val="21"/>
        </w:rPr>
      </w:pPr>
      <w:r>
        <w:rPr>
          <w:rFonts w:hint="eastAsia" w:ascii="仿宋_GB2312" w:eastAsia="仿宋_GB2312"/>
          <w:color w:val="000000"/>
          <w:kern w:val="0"/>
          <w:sz w:val="30"/>
          <w:szCs w:val="30"/>
        </w:rPr>
        <w:t>每人限报1件作品，限报1名指导教师。同一作品的参赛者不得同时署名该作品的指导教师。指导多个作品获奖的指导教师不重复获得优秀指导教师奖。</w:t>
      </w:r>
    </w:p>
    <w:p w14:paraId="145335AE">
      <w:pPr>
        <w:widowControl/>
        <w:spacing w:line="580" w:lineRule="exact"/>
        <w:ind w:firstLine="600"/>
        <w:rPr>
          <w:color w:val="000000"/>
          <w:kern w:val="0"/>
          <w:szCs w:val="21"/>
        </w:rPr>
      </w:pPr>
      <w:r>
        <w:rPr>
          <w:rFonts w:hint="eastAsia" w:ascii="仿宋_GB2312" w:eastAsia="仿宋_GB2312"/>
          <w:color w:val="000000"/>
          <w:kern w:val="0"/>
          <w:sz w:val="30"/>
          <w:szCs w:val="30"/>
        </w:rPr>
        <w:t>参赛者应使用规范汉字准确填写姓名、作品名称、所在单位或学校等信息。</w:t>
      </w:r>
      <w:r>
        <w:rPr>
          <w:rFonts w:hint="eastAsia" w:ascii="仿宋_GB2312" w:eastAsia="仿宋_GB2312"/>
          <w:color w:val="000000"/>
          <w:kern w:val="0"/>
          <w:sz w:val="32"/>
          <w:szCs w:val="32"/>
        </w:rPr>
        <w:t>作品提交日期截止后，</w:t>
      </w:r>
      <w:r>
        <w:rPr>
          <w:rFonts w:hint="eastAsia" w:ascii="仿宋_GB2312" w:eastAsia="仿宋_GB2312"/>
          <w:color w:val="000000"/>
          <w:kern w:val="0"/>
          <w:sz w:val="30"/>
          <w:szCs w:val="30"/>
        </w:rPr>
        <w:t>相关信息不得更改。</w:t>
      </w:r>
    </w:p>
    <w:p w14:paraId="2CD7EF04">
      <w:pPr>
        <w:adjustRightInd w:val="0"/>
        <w:snapToGrid w:val="0"/>
        <w:spacing w:line="460" w:lineRule="exact"/>
        <w:ind w:firstLine="560" w:firstLineChars="200"/>
        <w:rPr>
          <w:rFonts w:hint="eastAsia" w:ascii="仿宋" w:hAnsi="仿宋" w:eastAsia="仿宋" w:cs="仿宋"/>
          <w:color w:val="000000"/>
          <w:sz w:val="28"/>
          <w:szCs w:val="28"/>
        </w:rPr>
      </w:pPr>
    </w:p>
    <w:p w14:paraId="488B9C5C">
      <w:pPr>
        <w:spacing w:line="460" w:lineRule="exact"/>
        <w:ind w:firstLine="600" w:firstLineChars="200"/>
        <w:rPr>
          <w:rFonts w:ascii="仿宋_GB2312" w:hAnsi="仿宋" w:eastAsia="仿宋_GB2312"/>
          <w:color w:val="000000"/>
          <w:sz w:val="30"/>
          <w:szCs w:val="30"/>
        </w:rPr>
      </w:pPr>
    </w:p>
    <w:p w14:paraId="7049F1DF">
      <w:pPr>
        <w:widowControl/>
        <w:spacing w:line="460" w:lineRule="exact"/>
        <w:ind w:firstLine="420" w:firstLineChars="200"/>
        <w:jc w:val="left"/>
        <w:rPr>
          <w:rFonts w:hint="eastAsia"/>
        </w:rPr>
        <w:sectPr>
          <w:footerReference r:id="rId3" w:type="default"/>
          <w:pgSz w:w="11906" w:h="16838"/>
          <w:pgMar w:top="1474" w:right="1588" w:bottom="1474" w:left="1588" w:header="851" w:footer="992" w:gutter="0"/>
          <w:cols w:space="720" w:num="1"/>
          <w:docGrid w:type="linesAndChars" w:linePitch="312" w:charSpace="0"/>
        </w:sectPr>
      </w:pPr>
    </w:p>
    <w:p w14:paraId="38C52C38">
      <w:pPr>
        <w:adjustRightInd w:val="0"/>
        <w:snapToGrid w:val="0"/>
        <w:spacing w:line="460" w:lineRule="exact"/>
        <w:rPr>
          <w:rFonts w:hint="eastAsia" w:eastAsia="黑体" w:cs="仿宋_GB2312"/>
          <w:color w:val="000000"/>
          <w:sz w:val="32"/>
          <w:szCs w:val="28"/>
          <w:lang w:eastAsia="zh-CN"/>
        </w:rPr>
      </w:pPr>
      <w:r>
        <w:rPr>
          <w:rFonts w:hint="eastAsia" w:eastAsia="黑体" w:cs="仿宋_GB2312"/>
          <w:color w:val="000000"/>
          <w:sz w:val="32"/>
          <w:szCs w:val="28"/>
        </w:rPr>
        <w:t>附件3</w:t>
      </w:r>
      <w:r>
        <w:rPr>
          <w:rFonts w:hint="eastAsia" w:eastAsia="黑体" w:cs="仿宋_GB2312"/>
          <w:color w:val="000000"/>
          <w:sz w:val="32"/>
          <w:szCs w:val="28"/>
          <w:lang w:eastAsia="zh-CN"/>
        </w:rPr>
        <w:t>：</w:t>
      </w:r>
    </w:p>
    <w:p w14:paraId="7D513295">
      <w:pPr>
        <w:adjustRightInd w:val="0"/>
        <w:snapToGrid w:val="0"/>
        <w:spacing w:line="460" w:lineRule="exact"/>
        <w:ind w:firstLine="720" w:firstLineChars="200"/>
        <w:jc w:val="left"/>
        <w:rPr>
          <w:rFonts w:ascii="华文中宋" w:hAnsi="华文中宋" w:eastAsia="华文中宋" w:cs="华文中宋"/>
          <w:b/>
          <w:bCs/>
          <w:color w:val="000000"/>
          <w:sz w:val="36"/>
          <w:szCs w:val="44"/>
        </w:rPr>
      </w:pPr>
    </w:p>
    <w:p w14:paraId="0E60F33B">
      <w:pPr>
        <w:adjustRightInd w:val="0"/>
        <w:snapToGrid w:val="0"/>
        <w:spacing w:line="460" w:lineRule="exact"/>
        <w:ind w:firstLine="720" w:firstLineChars="20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“笔墨中国”汉字书写大赛（上海赛区）比赛要求</w:t>
      </w:r>
    </w:p>
    <w:p w14:paraId="11D0B309">
      <w:pPr>
        <w:adjustRightInd w:val="0"/>
        <w:snapToGrid w:val="0"/>
        <w:spacing w:line="460" w:lineRule="exact"/>
        <w:ind w:firstLine="720" w:firstLineChars="200"/>
        <w:jc w:val="center"/>
        <w:rPr>
          <w:rFonts w:hint="eastAsia" w:ascii="仿宋" w:hAnsi="仿宋" w:eastAsia="仿宋" w:cs="仿宋"/>
          <w:b/>
          <w:bCs/>
          <w:color w:val="000000"/>
          <w:sz w:val="36"/>
          <w:szCs w:val="36"/>
        </w:rPr>
      </w:pPr>
    </w:p>
    <w:p w14:paraId="3C6F51E0">
      <w:pPr>
        <w:numPr>
          <w:ilvl w:val="0"/>
          <w:numId w:val="2"/>
        </w:numPr>
        <w:adjustRightInd w:val="0"/>
        <w:snapToGrid w:val="0"/>
        <w:spacing w:line="460" w:lineRule="exact"/>
        <w:ind w:left="30" w:leftChars="0" w:firstLine="600" w:firstLineChars="0"/>
        <w:rPr>
          <w:rFonts w:hint="eastAsia" w:ascii="黑体" w:hAnsi="黑体" w:eastAsia="黑体" w:cs="黑体"/>
          <w:bCs/>
          <w:color w:val="000000"/>
          <w:sz w:val="30"/>
          <w:szCs w:val="30"/>
        </w:rPr>
      </w:pPr>
      <w:r>
        <w:rPr>
          <w:rFonts w:hint="eastAsia" w:ascii="黑体" w:hAnsi="黑体" w:eastAsia="黑体" w:cs="黑体"/>
          <w:bCs/>
          <w:color w:val="000000"/>
          <w:sz w:val="30"/>
          <w:szCs w:val="30"/>
        </w:rPr>
        <w:t>参赛对象与组别</w:t>
      </w:r>
    </w:p>
    <w:p w14:paraId="58713D96">
      <w:pPr>
        <w:widowControl/>
        <w:spacing w:line="600" w:lineRule="exact"/>
        <w:ind w:firstLine="600"/>
        <w:rPr>
          <w:rFonts w:hint="eastAsia" w:ascii="仿宋_GB2312" w:hAnsi="Times New Roman" w:eastAsia="仿宋_GB2312" w:cs="Times New Roman"/>
          <w:color w:val="000000"/>
          <w:kern w:val="0"/>
          <w:sz w:val="30"/>
          <w:szCs w:val="30"/>
        </w:rPr>
      </w:pPr>
      <w:r>
        <w:rPr>
          <w:rFonts w:hint="eastAsia" w:ascii="仿宋_GB2312" w:hAnsi="Times New Roman" w:eastAsia="仿宋_GB2312" w:cs="Times New Roman"/>
          <w:color w:val="000000"/>
          <w:kern w:val="0"/>
          <w:sz w:val="30"/>
          <w:szCs w:val="30"/>
        </w:rPr>
        <w:t>参赛对象为我校在校教师与学生。</w:t>
      </w:r>
    </w:p>
    <w:p w14:paraId="72DF8ECA">
      <w:pPr>
        <w:widowControl/>
        <w:spacing w:line="600" w:lineRule="exact"/>
        <w:ind w:firstLine="600"/>
        <w:rPr>
          <w:rFonts w:hint="eastAsia" w:ascii="仿宋_GB2312" w:hAnsi="Times New Roman" w:eastAsia="仿宋_GB2312" w:cs="Times New Roman"/>
          <w:color w:val="000000"/>
          <w:kern w:val="0"/>
          <w:sz w:val="30"/>
          <w:szCs w:val="30"/>
        </w:rPr>
      </w:pPr>
      <w:r>
        <w:rPr>
          <w:rFonts w:hint="eastAsia" w:ascii="仿宋_GB2312" w:hAnsi="Times New Roman" w:eastAsia="仿宋_GB2312" w:cs="Times New Roman"/>
          <w:color w:val="000000"/>
          <w:kern w:val="0"/>
          <w:sz w:val="30"/>
          <w:szCs w:val="30"/>
        </w:rPr>
        <w:t>比赛设硬笔和软笔两个类别。每类均分大学生组和教师组。</w:t>
      </w:r>
    </w:p>
    <w:p w14:paraId="2D6708DA">
      <w:pPr>
        <w:adjustRightInd w:val="0"/>
        <w:snapToGrid w:val="0"/>
        <w:spacing w:line="460" w:lineRule="exact"/>
        <w:ind w:firstLine="560" w:firstLineChars="200"/>
        <w:rPr>
          <w:rFonts w:hint="eastAsia" w:ascii="仿宋" w:hAnsi="仿宋" w:eastAsia="仿宋" w:cs="仿宋"/>
          <w:color w:val="000000"/>
          <w:sz w:val="28"/>
          <w:szCs w:val="28"/>
        </w:rPr>
      </w:pPr>
    </w:p>
    <w:p w14:paraId="778D93FD">
      <w:pPr>
        <w:numPr>
          <w:ilvl w:val="0"/>
          <w:numId w:val="2"/>
        </w:numPr>
        <w:adjustRightInd w:val="0"/>
        <w:snapToGrid w:val="0"/>
        <w:spacing w:line="460" w:lineRule="exact"/>
        <w:ind w:left="30" w:leftChars="0" w:firstLine="600" w:firstLineChars="0"/>
        <w:rPr>
          <w:rFonts w:hint="eastAsia" w:ascii="黑体" w:hAnsi="黑体" w:eastAsia="黑体" w:cs="黑体"/>
          <w:bCs/>
          <w:color w:val="000000"/>
          <w:sz w:val="30"/>
          <w:szCs w:val="30"/>
        </w:rPr>
      </w:pPr>
      <w:r>
        <w:rPr>
          <w:rFonts w:hint="eastAsia" w:ascii="黑体" w:hAnsi="黑体" w:eastAsia="黑体" w:cs="黑体"/>
          <w:bCs/>
          <w:color w:val="000000"/>
          <w:sz w:val="30"/>
          <w:szCs w:val="30"/>
        </w:rPr>
        <w:t>参赛要求</w:t>
      </w:r>
    </w:p>
    <w:p w14:paraId="5DD64BC6">
      <w:pPr>
        <w:widowControl/>
        <w:spacing w:line="600" w:lineRule="exact"/>
        <w:ind w:firstLine="600"/>
        <w:rPr>
          <w:color w:val="000000"/>
          <w:kern w:val="0"/>
          <w:szCs w:val="21"/>
        </w:rPr>
      </w:pPr>
      <w:r>
        <w:rPr>
          <w:rFonts w:hint="eastAsia" w:ascii="仿宋_GB2312" w:eastAsia="仿宋_GB2312"/>
          <w:color w:val="000000"/>
          <w:kern w:val="0"/>
          <w:sz w:val="30"/>
          <w:szCs w:val="30"/>
        </w:rPr>
        <w:t>大赛分为语言文字知识及书法常识评测、书法作品评比两部分。</w:t>
      </w:r>
    </w:p>
    <w:p w14:paraId="7724ADA2">
      <w:pPr>
        <w:widowControl/>
        <w:spacing w:line="600" w:lineRule="exact"/>
        <w:ind w:firstLine="600"/>
        <w:rPr>
          <w:color w:val="000000"/>
          <w:kern w:val="0"/>
          <w:szCs w:val="21"/>
        </w:rPr>
      </w:pPr>
      <w:r>
        <w:rPr>
          <w:rFonts w:hint="eastAsia" w:ascii="楷体_GB2312" w:eastAsia="楷体_GB2312"/>
          <w:color w:val="000000"/>
          <w:kern w:val="0"/>
          <w:sz w:val="30"/>
          <w:szCs w:val="30"/>
        </w:rPr>
        <w:t>（一）语言文字知识及书法常识评测</w:t>
      </w:r>
    </w:p>
    <w:p w14:paraId="0B0ADB67">
      <w:pPr>
        <w:widowControl/>
        <w:spacing w:line="600" w:lineRule="exact"/>
        <w:ind w:firstLine="600"/>
        <w:rPr>
          <w:color w:val="000000"/>
          <w:kern w:val="0"/>
          <w:szCs w:val="21"/>
        </w:rPr>
      </w:pPr>
      <w:r>
        <w:rPr>
          <w:rFonts w:hint="eastAsia" w:ascii="仿宋_GB2312" w:eastAsia="仿宋_GB2312"/>
          <w:color w:val="000000"/>
          <w:kern w:val="0"/>
          <w:sz w:val="30"/>
          <w:szCs w:val="30"/>
        </w:rPr>
        <w:t>参赛者首先须进行语言文字知识及书法常识评测。参赛者于2025年5月31日24:00前登录中华经典诵写讲大赛网站（https://jdsxj.eduyun.cn），按参赛指引完成报名。参加完成语言文字知识及书法常识测评，每人可多次测评，系统确定最高分为最终成绩（测评成绩不计入复赛），60分以上为测评合格，合格者方可提交参赛作品并录制书写视频。书写视频和参赛作品图片需同时上传至大赛官网，上传时间截至5月31日24:00。</w:t>
      </w:r>
    </w:p>
    <w:p w14:paraId="7650DBF3">
      <w:pPr>
        <w:widowControl/>
        <w:spacing w:line="600" w:lineRule="exact"/>
        <w:ind w:firstLine="600"/>
        <w:rPr>
          <w:color w:val="000000"/>
          <w:kern w:val="0"/>
          <w:szCs w:val="21"/>
        </w:rPr>
      </w:pPr>
      <w:r>
        <w:rPr>
          <w:rFonts w:hint="eastAsia" w:ascii="仿宋_GB2312" w:eastAsia="仿宋_GB2312"/>
          <w:color w:val="000000"/>
          <w:kern w:val="0"/>
          <w:sz w:val="30"/>
          <w:szCs w:val="30"/>
        </w:rPr>
        <w:t>为进一步浸润书法文化，鼓励参赛者阅读，自主报名时开通图书推荐功能，每位参赛者可推荐一本自己喜爱的图书并写出推荐语，以增进阅读交流。</w:t>
      </w:r>
    </w:p>
    <w:p w14:paraId="3592E146">
      <w:pPr>
        <w:widowControl/>
        <w:spacing w:line="600" w:lineRule="exact"/>
        <w:ind w:firstLine="600"/>
        <w:rPr>
          <w:color w:val="000000"/>
          <w:kern w:val="0"/>
          <w:szCs w:val="21"/>
        </w:rPr>
      </w:pPr>
      <w:r>
        <w:rPr>
          <w:rFonts w:hint="eastAsia" w:ascii="楷体_GB2312" w:eastAsia="楷体_GB2312"/>
          <w:color w:val="000000"/>
          <w:kern w:val="0"/>
          <w:sz w:val="30"/>
          <w:szCs w:val="30"/>
        </w:rPr>
        <w:t>（二）书法作品评比</w:t>
      </w:r>
    </w:p>
    <w:p w14:paraId="4B3663FB">
      <w:pPr>
        <w:widowControl/>
        <w:spacing w:line="600" w:lineRule="exact"/>
        <w:ind w:firstLine="602"/>
        <w:rPr>
          <w:color w:val="000000"/>
          <w:kern w:val="0"/>
          <w:szCs w:val="21"/>
        </w:rPr>
      </w:pPr>
      <w:r>
        <w:rPr>
          <w:rFonts w:hint="eastAsia" w:ascii="仿宋_GB2312" w:eastAsia="仿宋_GB2312"/>
          <w:b/>
          <w:bCs/>
          <w:color w:val="000000"/>
          <w:kern w:val="0"/>
          <w:sz w:val="30"/>
          <w:szCs w:val="30"/>
        </w:rPr>
        <w:t>1.内容要求</w:t>
      </w:r>
    </w:p>
    <w:p w14:paraId="07BE44E6">
      <w:pPr>
        <w:widowControl/>
        <w:spacing w:line="600" w:lineRule="exact"/>
        <w:ind w:firstLine="600"/>
        <w:rPr>
          <w:color w:val="000000"/>
          <w:kern w:val="0"/>
          <w:szCs w:val="21"/>
        </w:rPr>
      </w:pPr>
      <w:r>
        <w:rPr>
          <w:rFonts w:hint="eastAsia" w:ascii="仿宋_GB2312" w:eastAsia="仿宋_GB2312"/>
          <w:color w:val="000000"/>
          <w:kern w:val="0"/>
          <w:sz w:val="30"/>
          <w:szCs w:val="30"/>
        </w:rPr>
        <w:t>体现中华优秀传统文化、爱国情怀以及积极向上时代精神的古今诗文、楹联、词语、名言警句，或中华优秀图书的内容节选等。当代内容以正式出版或主流媒体公开发表的为准，内容主题须相对完整，改编、自创以及网络文本等不在征集之列。</w:t>
      </w:r>
    </w:p>
    <w:p w14:paraId="55EF1474">
      <w:pPr>
        <w:widowControl/>
        <w:spacing w:line="600" w:lineRule="exact"/>
        <w:ind w:firstLine="600"/>
        <w:rPr>
          <w:color w:val="000000"/>
          <w:kern w:val="0"/>
          <w:szCs w:val="21"/>
        </w:rPr>
      </w:pPr>
      <w:r>
        <w:rPr>
          <w:rFonts w:hint="eastAsia" w:ascii="仿宋_GB2312" w:eastAsia="仿宋_GB2312"/>
          <w:color w:val="000000"/>
          <w:kern w:val="0"/>
          <w:sz w:val="30"/>
          <w:szCs w:val="30"/>
        </w:rPr>
        <w:t>硬笔类、粉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不可提交临摹作品。</w:t>
      </w:r>
    </w:p>
    <w:p w14:paraId="36289E44">
      <w:pPr>
        <w:widowControl/>
        <w:spacing w:line="600" w:lineRule="exact"/>
        <w:ind w:firstLine="602"/>
        <w:rPr>
          <w:color w:val="000000"/>
          <w:kern w:val="0"/>
          <w:szCs w:val="21"/>
        </w:rPr>
      </w:pPr>
      <w:r>
        <w:rPr>
          <w:rFonts w:hint="eastAsia" w:ascii="仿宋_GB2312" w:eastAsia="仿宋_GB2312"/>
          <w:b/>
          <w:bCs/>
          <w:color w:val="000000"/>
          <w:kern w:val="0"/>
          <w:sz w:val="30"/>
          <w:szCs w:val="30"/>
        </w:rPr>
        <w:t>2.形式要求</w:t>
      </w:r>
    </w:p>
    <w:p w14:paraId="2FE36CFA">
      <w:pPr>
        <w:widowControl/>
        <w:spacing w:line="600" w:lineRule="exact"/>
        <w:ind w:firstLine="600"/>
        <w:rPr>
          <w:color w:val="000000"/>
          <w:kern w:val="0"/>
          <w:szCs w:val="21"/>
        </w:rPr>
      </w:pPr>
      <w:r>
        <w:rPr>
          <w:rFonts w:hint="eastAsia" w:ascii="仿宋_GB2312" w:eastAsia="仿宋_GB2312"/>
          <w:color w:val="000000"/>
          <w:kern w:val="0"/>
          <w:sz w:val="30"/>
          <w:szCs w:val="30"/>
        </w:rPr>
        <w:t>硬笔可使用铅笔（仅限小学一、二年级学生）、中性笔、钢笔、秀丽笔。硬笔类作品用纸规格不超过A3纸大小（29.7cm×42cm以内）。</w:t>
      </w:r>
    </w:p>
    <w:p w14:paraId="32C26325">
      <w:pPr>
        <w:widowControl/>
        <w:spacing w:line="600" w:lineRule="exact"/>
        <w:ind w:firstLine="600"/>
        <w:rPr>
          <w:color w:val="000000"/>
          <w:kern w:val="0"/>
          <w:szCs w:val="21"/>
        </w:rPr>
      </w:pPr>
      <w:r>
        <w:rPr>
          <w:rFonts w:hint="eastAsia" w:ascii="仿宋_GB2312" w:eastAsia="仿宋_GB2312"/>
          <w:color w:val="000000"/>
          <w:kern w:val="0"/>
          <w:sz w:val="30"/>
          <w:szCs w:val="30"/>
        </w:rPr>
        <w:t>毛笔类作品用纸规格为四尺三裁至六尺整张宣纸（46cm×69cm-95cm×180cm），一律为竖式，不得托裱。手卷、册页等形式不在参赛范围之内。</w:t>
      </w:r>
    </w:p>
    <w:p w14:paraId="6B89003C">
      <w:pPr>
        <w:widowControl/>
        <w:spacing w:line="600" w:lineRule="exact"/>
        <w:ind w:firstLine="600"/>
        <w:rPr>
          <w:color w:val="000000"/>
          <w:kern w:val="0"/>
          <w:szCs w:val="21"/>
        </w:rPr>
      </w:pPr>
      <w:r>
        <w:rPr>
          <w:rFonts w:hint="eastAsia" w:ascii="仿宋_GB2312" w:eastAsia="仿宋_GB2312"/>
          <w:color w:val="000000"/>
          <w:kern w:val="0"/>
          <w:sz w:val="30"/>
          <w:szCs w:val="30"/>
        </w:rPr>
        <w:t>粉笔类作品一律使用白色粉笔，横排横写。</w:t>
      </w:r>
    </w:p>
    <w:p w14:paraId="5E44BBD8">
      <w:pPr>
        <w:widowControl/>
        <w:spacing w:line="600" w:lineRule="exact"/>
        <w:ind w:firstLine="602"/>
        <w:rPr>
          <w:color w:val="000000"/>
          <w:kern w:val="0"/>
          <w:szCs w:val="21"/>
        </w:rPr>
      </w:pPr>
      <w:r>
        <w:rPr>
          <w:rFonts w:hint="eastAsia" w:ascii="仿宋_GB2312" w:eastAsia="仿宋_GB2312"/>
          <w:b/>
          <w:bCs/>
          <w:color w:val="000000"/>
          <w:kern w:val="0"/>
          <w:sz w:val="30"/>
          <w:szCs w:val="30"/>
        </w:rPr>
        <w:t>3.提交要求</w:t>
      </w:r>
    </w:p>
    <w:p w14:paraId="24B53B24">
      <w:pPr>
        <w:widowControl/>
        <w:spacing w:line="600" w:lineRule="exact"/>
        <w:ind w:firstLine="600"/>
        <w:rPr>
          <w:color w:val="000000"/>
          <w:kern w:val="0"/>
          <w:szCs w:val="21"/>
        </w:rPr>
      </w:pPr>
      <w:r>
        <w:rPr>
          <w:rFonts w:hint="eastAsia" w:ascii="仿宋_GB2312" w:eastAsia="仿宋_GB2312"/>
          <w:color w:val="000000"/>
          <w:kern w:val="0"/>
          <w:sz w:val="30"/>
          <w:szCs w:val="30"/>
        </w:rPr>
        <w:t>（1）参赛者于2025年5月31日24:00前，登录中华经典诵写讲大赛网站（https://jdsxj.eduyun.cn），按官网参赛提示要求正确、规范填写参赛者姓名、组别、作品名称、所在单位/学校等信息、指导教师姓名等信息（上海赛区六年级为初中组），完成作品上传。填报作品名称时，不得使用繁体字、异体字。作品进入评审阶段后，相关信息不得更改。作品要求为2025年新创作的作品，由参赛者独立完成。作品进入评审阶段后，相关信息不予更改。每人限报1件作品，限报1名指导教师。同一作品的参赛者不得同时署名该作品的指导教师。</w:t>
      </w:r>
    </w:p>
    <w:p w14:paraId="3AA34375">
      <w:pPr>
        <w:widowControl/>
        <w:spacing w:line="600" w:lineRule="exact"/>
        <w:ind w:firstLine="600"/>
        <w:rPr>
          <w:color w:val="000000"/>
          <w:kern w:val="0"/>
          <w:szCs w:val="21"/>
        </w:rPr>
      </w:pPr>
      <w:r>
        <w:rPr>
          <w:rFonts w:hint="eastAsia" w:ascii="仿宋_GB2312" w:eastAsia="仿宋_GB2312"/>
          <w:color w:val="000000"/>
          <w:kern w:val="0"/>
          <w:sz w:val="30"/>
          <w:szCs w:val="30"/>
        </w:rPr>
        <w:t>（2）上传作品：硬笔类作品上传分辨率为300dpi以上的扫描图片，毛笔类、粉笔类作品上传高清照片，格式为jpg或jpeg，大小为2-10MB，能体现作品整体效果与细节特点。参赛者创作作品时，应同步录制全身书写短视频，时长1-2分钟，显示清晰，能体现作者本人书写。入围全国赛的作品须根据比赛要求提交全身书写短视频（相关要求另行通知）。</w:t>
      </w:r>
    </w:p>
    <w:p w14:paraId="3A78288C">
      <w:pPr>
        <w:widowControl/>
        <w:spacing w:line="600" w:lineRule="exact"/>
        <w:ind w:firstLine="600"/>
        <w:rPr>
          <w:color w:val="000000"/>
          <w:kern w:val="0"/>
          <w:szCs w:val="21"/>
        </w:rPr>
      </w:pPr>
      <w:r>
        <w:rPr>
          <w:rFonts w:hint="eastAsia" w:ascii="仿宋_GB2312" w:eastAsia="仿宋_GB2312"/>
          <w:color w:val="000000"/>
          <w:kern w:val="0"/>
          <w:sz w:val="30"/>
          <w:szCs w:val="30"/>
        </w:rPr>
        <w:t>（3）参赛者务必保留纸质作品，如入围全国赛评审，届时参赛者须按照相关要求参评，相关要求由分赛项执委会另行通知。</w:t>
      </w:r>
    </w:p>
    <w:p w14:paraId="72C6127D">
      <w:pPr>
        <w:spacing w:line="460" w:lineRule="exact"/>
        <w:ind w:firstLine="420" w:firstLineChars="200"/>
        <w:rPr>
          <w:rFonts w:hint="eastAsia"/>
        </w:rPr>
      </w:pPr>
    </w:p>
    <w:p w14:paraId="7361BA6C">
      <w:pPr>
        <w:spacing w:line="460" w:lineRule="exact"/>
        <w:ind w:firstLine="420" w:firstLineChars="200"/>
        <w:rPr>
          <w:rFonts w:hint="eastAsia"/>
        </w:rPr>
      </w:pPr>
    </w:p>
    <w:p w14:paraId="67DE5ADA">
      <w:pPr>
        <w:spacing w:line="460" w:lineRule="exact"/>
        <w:ind w:firstLine="420" w:firstLineChars="200"/>
        <w:rPr>
          <w:rFonts w:hint="eastAsia"/>
        </w:rPr>
      </w:pPr>
    </w:p>
    <w:p w14:paraId="7FEAD056">
      <w:pPr>
        <w:spacing w:line="460" w:lineRule="exact"/>
        <w:ind w:firstLine="420" w:firstLineChars="200"/>
        <w:rPr>
          <w:rFonts w:hint="eastAsia"/>
        </w:rPr>
      </w:pPr>
    </w:p>
    <w:p w14:paraId="0FDD6C61">
      <w:pPr>
        <w:spacing w:line="460" w:lineRule="exact"/>
        <w:ind w:firstLine="420" w:firstLineChars="200"/>
        <w:rPr>
          <w:rFonts w:hint="eastAsia"/>
        </w:rPr>
      </w:pPr>
    </w:p>
    <w:p w14:paraId="51AB4D83">
      <w:pPr>
        <w:spacing w:line="460" w:lineRule="exact"/>
        <w:ind w:firstLine="420" w:firstLineChars="200"/>
        <w:rPr>
          <w:rFonts w:hint="eastAsia"/>
        </w:rPr>
      </w:pPr>
    </w:p>
    <w:p w14:paraId="17D44FCE">
      <w:pPr>
        <w:spacing w:line="460" w:lineRule="exact"/>
        <w:ind w:firstLine="420" w:firstLineChars="200"/>
        <w:rPr>
          <w:rFonts w:hint="eastAsia"/>
        </w:rPr>
      </w:pPr>
    </w:p>
    <w:p w14:paraId="5AEA40EA">
      <w:pPr>
        <w:spacing w:line="460" w:lineRule="exact"/>
        <w:ind w:firstLine="420" w:firstLineChars="200"/>
        <w:rPr>
          <w:rFonts w:hint="eastAsia"/>
        </w:rPr>
      </w:pPr>
    </w:p>
    <w:p w14:paraId="26B08B94">
      <w:pPr>
        <w:spacing w:line="460" w:lineRule="exact"/>
        <w:ind w:firstLine="420" w:firstLineChars="200"/>
        <w:rPr>
          <w:rFonts w:hint="eastAsia"/>
        </w:rPr>
      </w:pPr>
    </w:p>
    <w:p w14:paraId="0E573A29">
      <w:pPr>
        <w:spacing w:line="460" w:lineRule="exact"/>
        <w:ind w:firstLine="420" w:firstLineChars="200"/>
        <w:rPr>
          <w:rFonts w:hint="eastAsia"/>
        </w:rPr>
      </w:pPr>
    </w:p>
    <w:p w14:paraId="43B7C8D9">
      <w:pPr>
        <w:spacing w:line="460" w:lineRule="exact"/>
        <w:ind w:firstLine="420" w:firstLineChars="200"/>
        <w:rPr>
          <w:rFonts w:hint="eastAsia"/>
        </w:rPr>
      </w:pPr>
    </w:p>
    <w:p w14:paraId="656EA875">
      <w:pPr>
        <w:spacing w:line="460" w:lineRule="exact"/>
        <w:ind w:firstLine="420" w:firstLineChars="200"/>
        <w:rPr>
          <w:rFonts w:hint="eastAsia"/>
        </w:rPr>
      </w:pPr>
    </w:p>
    <w:p w14:paraId="26A9B021">
      <w:pPr>
        <w:spacing w:line="460" w:lineRule="exact"/>
        <w:ind w:firstLine="420" w:firstLineChars="200"/>
        <w:rPr>
          <w:rFonts w:hint="eastAsia"/>
        </w:rPr>
      </w:pPr>
    </w:p>
    <w:p w14:paraId="3B6F3AEB">
      <w:pPr>
        <w:spacing w:line="460" w:lineRule="exact"/>
        <w:ind w:firstLine="420" w:firstLineChars="200"/>
        <w:rPr>
          <w:rFonts w:hint="eastAsia"/>
        </w:rPr>
      </w:pPr>
    </w:p>
    <w:p w14:paraId="72D8A565">
      <w:pPr>
        <w:adjustRightInd w:val="0"/>
        <w:snapToGrid w:val="0"/>
        <w:spacing w:line="460" w:lineRule="exact"/>
        <w:rPr>
          <w:rFonts w:hint="eastAsia" w:eastAsia="黑体" w:cs="仿宋_GB2312"/>
          <w:color w:val="000000"/>
          <w:sz w:val="32"/>
          <w:szCs w:val="28"/>
          <w:lang w:eastAsia="zh-CN"/>
        </w:rPr>
      </w:pPr>
      <w:r>
        <w:rPr>
          <w:rFonts w:hint="eastAsia" w:eastAsia="黑体" w:cs="仿宋_GB2312"/>
          <w:color w:val="000000"/>
          <w:sz w:val="32"/>
          <w:szCs w:val="28"/>
        </w:rPr>
        <w:t>附件4</w:t>
      </w:r>
      <w:r>
        <w:rPr>
          <w:rFonts w:hint="eastAsia" w:eastAsia="黑体" w:cs="仿宋_GB2312"/>
          <w:color w:val="000000"/>
          <w:sz w:val="32"/>
          <w:szCs w:val="28"/>
          <w:lang w:eastAsia="zh-CN"/>
        </w:rPr>
        <w:t>：</w:t>
      </w:r>
    </w:p>
    <w:p w14:paraId="57BFFBC0">
      <w:pPr>
        <w:adjustRightInd w:val="0"/>
        <w:snapToGrid w:val="0"/>
        <w:spacing w:line="460" w:lineRule="exact"/>
        <w:ind w:firstLine="640" w:firstLineChars="200"/>
        <w:rPr>
          <w:rFonts w:hint="eastAsia" w:eastAsia="黑体" w:cs="仿宋_GB2312"/>
          <w:color w:val="000000"/>
          <w:sz w:val="32"/>
          <w:szCs w:val="28"/>
        </w:rPr>
      </w:pPr>
    </w:p>
    <w:p w14:paraId="2F711BA6">
      <w:pPr>
        <w:adjustRightInd w:val="0"/>
        <w:snapToGrid w:val="0"/>
        <w:spacing w:line="460" w:lineRule="exact"/>
        <w:ind w:firstLine="720" w:firstLineChars="200"/>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“印记中国”师生篆刻大赛（上海赛区）比赛要求</w:t>
      </w:r>
    </w:p>
    <w:p w14:paraId="750ACB66">
      <w:pPr>
        <w:adjustRightInd w:val="0"/>
        <w:snapToGrid w:val="0"/>
        <w:spacing w:line="460" w:lineRule="exact"/>
        <w:ind w:firstLine="720" w:firstLineChars="200"/>
        <w:jc w:val="center"/>
        <w:rPr>
          <w:rFonts w:hint="eastAsia" w:ascii="仿宋" w:hAnsi="仿宋" w:eastAsia="仿宋" w:cs="仿宋"/>
          <w:b/>
          <w:bCs/>
          <w:color w:val="000000"/>
          <w:sz w:val="36"/>
          <w:szCs w:val="36"/>
        </w:rPr>
      </w:pPr>
    </w:p>
    <w:p w14:paraId="25FC68D3">
      <w:pPr>
        <w:adjustRightInd w:val="0"/>
        <w:snapToGrid w:val="0"/>
        <w:spacing w:line="460" w:lineRule="exact"/>
        <w:ind w:firstLine="600" w:firstLineChars="200"/>
        <w:rPr>
          <w:rFonts w:ascii="黑体" w:hAnsi="黑体" w:eastAsia="黑体" w:cs="黑体"/>
          <w:color w:val="000000"/>
          <w:sz w:val="30"/>
          <w:szCs w:val="30"/>
        </w:rPr>
      </w:pPr>
      <w:r>
        <w:rPr>
          <w:rFonts w:hint="eastAsia" w:ascii="黑体" w:hAnsi="黑体" w:eastAsia="黑体" w:cs="黑体"/>
          <w:color w:val="000000"/>
          <w:sz w:val="30"/>
          <w:szCs w:val="30"/>
        </w:rPr>
        <w:t>一、参赛对象与组别</w:t>
      </w:r>
    </w:p>
    <w:p w14:paraId="1BA856AD">
      <w:pPr>
        <w:adjustRightInd w:val="0"/>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参赛对象为我校在校教师与学生。</w:t>
      </w:r>
    </w:p>
    <w:p w14:paraId="06935BF8">
      <w:pPr>
        <w:adjustRightInd w:val="0"/>
        <w:snapToGri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比赛设手工篆刻和机器篆刻两个类别。每类均分大学生组及教师组。</w:t>
      </w:r>
    </w:p>
    <w:p w14:paraId="47715EF3">
      <w:pPr>
        <w:adjustRightInd w:val="0"/>
        <w:snapToGrid w:val="0"/>
        <w:spacing w:line="460" w:lineRule="exact"/>
        <w:ind w:firstLine="560" w:firstLineChars="200"/>
        <w:rPr>
          <w:rFonts w:hint="eastAsia" w:ascii="仿宋" w:hAnsi="仿宋" w:eastAsia="仿宋" w:cs="仿宋"/>
          <w:color w:val="000000"/>
          <w:sz w:val="28"/>
          <w:szCs w:val="28"/>
        </w:rPr>
      </w:pPr>
    </w:p>
    <w:p w14:paraId="7ACED132">
      <w:pPr>
        <w:numPr>
          <w:ilvl w:val="0"/>
          <w:numId w:val="0"/>
        </w:numPr>
        <w:adjustRightInd w:val="0"/>
        <w:snapToGrid w:val="0"/>
        <w:spacing w:line="460" w:lineRule="exact"/>
        <w:ind w:left="630" w:leftChars="0"/>
        <w:rPr>
          <w:rFonts w:hint="eastAsia" w:ascii="黑体" w:hAnsi="黑体" w:eastAsia="黑体" w:cs="黑体"/>
          <w:color w:val="000000"/>
          <w:sz w:val="30"/>
          <w:szCs w:val="30"/>
        </w:rPr>
      </w:pPr>
      <w:r>
        <w:rPr>
          <w:rFonts w:hint="eastAsia" w:ascii="黑体" w:hAnsi="黑体" w:eastAsia="黑体" w:cs="黑体"/>
          <w:color w:val="000000"/>
          <w:sz w:val="30"/>
          <w:szCs w:val="30"/>
          <w:lang w:val="en-US" w:eastAsia="zh-CN"/>
        </w:rPr>
        <w:t>二、</w:t>
      </w:r>
      <w:r>
        <w:rPr>
          <w:rFonts w:hint="eastAsia" w:ascii="黑体" w:hAnsi="黑体" w:eastAsia="黑体" w:cs="黑体"/>
          <w:color w:val="000000"/>
          <w:sz w:val="30"/>
          <w:szCs w:val="30"/>
        </w:rPr>
        <w:t>参赛要求</w:t>
      </w:r>
    </w:p>
    <w:p w14:paraId="6580A86D">
      <w:pPr>
        <w:widowControl/>
        <w:spacing w:line="600" w:lineRule="exact"/>
        <w:ind w:firstLine="600"/>
        <w:rPr>
          <w:color w:val="000000"/>
          <w:kern w:val="0"/>
          <w:szCs w:val="21"/>
        </w:rPr>
      </w:pPr>
      <w:r>
        <w:rPr>
          <w:rFonts w:hint="eastAsia" w:ascii="仿宋_GB2312" w:eastAsia="仿宋_GB2312"/>
          <w:color w:val="000000"/>
          <w:kern w:val="0"/>
          <w:sz w:val="30"/>
          <w:szCs w:val="30"/>
        </w:rPr>
        <w:t>大赛分为语言文字知识及篆刻常识评测、篆刻作品评比两部分。</w:t>
      </w:r>
    </w:p>
    <w:p w14:paraId="7A59877F">
      <w:pPr>
        <w:widowControl/>
        <w:spacing w:line="600" w:lineRule="exact"/>
        <w:ind w:firstLine="600"/>
        <w:rPr>
          <w:color w:val="000000"/>
          <w:kern w:val="0"/>
          <w:szCs w:val="21"/>
        </w:rPr>
      </w:pPr>
      <w:r>
        <w:rPr>
          <w:rFonts w:hint="eastAsia" w:ascii="楷体_GB2312" w:eastAsia="楷体_GB2312"/>
          <w:color w:val="000000"/>
          <w:kern w:val="0"/>
          <w:sz w:val="30"/>
          <w:szCs w:val="30"/>
        </w:rPr>
        <w:t>（一）语言文字知识及篆刻常识评测</w:t>
      </w:r>
    </w:p>
    <w:p w14:paraId="00AEC47A">
      <w:pPr>
        <w:widowControl/>
        <w:spacing w:line="600" w:lineRule="exact"/>
        <w:ind w:firstLine="600"/>
        <w:rPr>
          <w:color w:val="000000"/>
          <w:kern w:val="0"/>
          <w:szCs w:val="21"/>
        </w:rPr>
      </w:pPr>
      <w:r>
        <w:rPr>
          <w:rFonts w:hint="eastAsia" w:ascii="仿宋_GB2312" w:eastAsia="仿宋_GB2312"/>
          <w:color w:val="000000"/>
          <w:kern w:val="0"/>
          <w:sz w:val="30"/>
          <w:szCs w:val="30"/>
        </w:rPr>
        <w:t>参赛者首先须进行语言文字知识及篆刻常识评测。参赛者于2025年5月31日24:00前登录中华经典诵写讲大赛网站（https://jdsxj.eduyun.cn），按参赛指引完成报名。参加语言文字知识及篆刻常识在线测评，每人可多次测评，系统确定最高分为最终成绩（测评成绩不计入复赛），60分以上为测评合格，合格者可提交参赛作品。</w:t>
      </w:r>
    </w:p>
    <w:p w14:paraId="2FB43C5A">
      <w:pPr>
        <w:widowControl/>
        <w:spacing w:line="600" w:lineRule="exact"/>
        <w:ind w:firstLine="600"/>
        <w:rPr>
          <w:color w:val="000000"/>
          <w:kern w:val="0"/>
          <w:szCs w:val="21"/>
        </w:rPr>
      </w:pPr>
      <w:r>
        <w:rPr>
          <w:rFonts w:hint="eastAsia" w:ascii="楷体_GB2312" w:eastAsia="楷体_GB2312"/>
          <w:color w:val="000000"/>
          <w:kern w:val="0"/>
          <w:sz w:val="30"/>
          <w:szCs w:val="30"/>
        </w:rPr>
        <w:t>（二）篆刻作品评比</w:t>
      </w:r>
    </w:p>
    <w:p w14:paraId="5D26A394">
      <w:pPr>
        <w:widowControl/>
        <w:spacing w:line="600" w:lineRule="exact"/>
        <w:ind w:firstLine="602"/>
        <w:rPr>
          <w:color w:val="000000"/>
          <w:kern w:val="0"/>
          <w:szCs w:val="21"/>
        </w:rPr>
      </w:pPr>
      <w:r>
        <w:rPr>
          <w:rFonts w:hint="eastAsia" w:ascii="仿宋_GB2312" w:eastAsia="仿宋_GB2312"/>
          <w:b/>
          <w:bCs/>
          <w:color w:val="000000"/>
          <w:kern w:val="0"/>
          <w:sz w:val="30"/>
          <w:szCs w:val="30"/>
        </w:rPr>
        <w:t>1.内容要求</w:t>
      </w:r>
    </w:p>
    <w:p w14:paraId="1AC5DF7D">
      <w:pPr>
        <w:widowControl/>
        <w:spacing w:line="600" w:lineRule="exact"/>
        <w:ind w:firstLine="600"/>
        <w:rPr>
          <w:color w:val="000000"/>
          <w:kern w:val="0"/>
          <w:szCs w:val="21"/>
        </w:rPr>
      </w:pPr>
      <w:r>
        <w:rPr>
          <w:rFonts w:hint="eastAsia" w:ascii="仿宋_GB2312" w:eastAsia="仿宋_GB2312"/>
          <w:color w:val="000000"/>
          <w:kern w:val="0"/>
          <w:sz w:val="30"/>
          <w:szCs w:val="30"/>
        </w:rPr>
        <w:t>反映中华优秀文化、爱国情怀以及积极向上时代精神的词语、警句、中华古今名人名言。内容应完整、准确。</w:t>
      </w:r>
    </w:p>
    <w:p w14:paraId="779A91A1">
      <w:pPr>
        <w:widowControl/>
        <w:spacing w:line="600" w:lineRule="exact"/>
        <w:ind w:firstLine="602"/>
        <w:rPr>
          <w:color w:val="000000"/>
          <w:kern w:val="0"/>
          <w:szCs w:val="21"/>
        </w:rPr>
      </w:pPr>
      <w:r>
        <w:rPr>
          <w:rFonts w:hint="eastAsia" w:ascii="仿宋" w:eastAsia="仿宋"/>
          <w:b/>
          <w:bCs/>
          <w:color w:val="000000"/>
          <w:kern w:val="0"/>
          <w:sz w:val="30"/>
          <w:szCs w:val="30"/>
        </w:rPr>
        <w:t>2.形式要求</w:t>
      </w:r>
    </w:p>
    <w:p w14:paraId="40838368">
      <w:pPr>
        <w:widowControl/>
        <w:spacing w:line="600" w:lineRule="exact"/>
        <w:ind w:firstLine="600"/>
        <w:rPr>
          <w:color w:val="000000"/>
          <w:kern w:val="0"/>
          <w:szCs w:val="21"/>
        </w:rPr>
      </w:pPr>
      <w:r>
        <w:rPr>
          <w:rFonts w:hint="eastAsia" w:ascii="仿宋_GB2312" w:eastAsia="仿宋_GB2312"/>
          <w:color w:val="000000"/>
          <w:kern w:val="0"/>
          <w:sz w:val="30"/>
          <w:szCs w:val="30"/>
        </w:rPr>
        <w:t>（1）参赛作品内容使用汉字，字体不限。</w:t>
      </w:r>
    </w:p>
    <w:p w14:paraId="01559E3C">
      <w:pPr>
        <w:widowControl/>
        <w:spacing w:line="600" w:lineRule="exact"/>
        <w:ind w:firstLine="600"/>
        <w:rPr>
          <w:color w:val="000000"/>
          <w:kern w:val="0"/>
          <w:szCs w:val="21"/>
        </w:rPr>
      </w:pPr>
      <w:r>
        <w:rPr>
          <w:rFonts w:hint="eastAsia" w:ascii="仿宋_GB2312" w:eastAsia="仿宋_GB2312"/>
          <w:color w:val="000000"/>
          <w:kern w:val="0"/>
          <w:sz w:val="30"/>
          <w:szCs w:val="30"/>
        </w:rPr>
        <w:t>（2）参赛作品材质提倡使用除传统石材以外的各种新型材料，机器篆刻鼓励使用木头、陶瓷、金属等材料。</w:t>
      </w:r>
    </w:p>
    <w:p w14:paraId="259CEA3D">
      <w:pPr>
        <w:widowControl/>
        <w:spacing w:line="600" w:lineRule="exact"/>
        <w:ind w:firstLine="600"/>
        <w:rPr>
          <w:color w:val="000000"/>
          <w:kern w:val="0"/>
          <w:szCs w:val="21"/>
        </w:rPr>
      </w:pPr>
      <w:r>
        <w:rPr>
          <w:rFonts w:hint="eastAsia" w:ascii="仿宋_GB2312" w:eastAsia="仿宋_GB2312"/>
          <w:color w:val="000000"/>
          <w:kern w:val="0"/>
          <w:sz w:val="30"/>
          <w:szCs w:val="30"/>
        </w:rPr>
        <w:t>（3）手工篆刻类：每人限报1件印屏（需粘贴印蜕6</w:t>
      </w:r>
      <w:r>
        <w:rPr>
          <w:rFonts w:hint="eastAsia" w:ascii="楷体_GB2312" w:eastAsia="楷体_GB2312"/>
          <w:color w:val="000000"/>
          <w:kern w:val="0"/>
          <w:sz w:val="30"/>
          <w:szCs w:val="30"/>
        </w:rPr>
        <w:t>-</w:t>
      </w:r>
      <w:r>
        <w:rPr>
          <w:rFonts w:hint="eastAsia" w:ascii="仿宋_GB2312" w:eastAsia="仿宋_GB2312"/>
          <w:color w:val="000000"/>
          <w:kern w:val="0"/>
          <w:sz w:val="30"/>
          <w:szCs w:val="30"/>
        </w:rPr>
        <w:t>8方，需两个以上边款，作者自行粘贴、题签）。印屏尺寸为138cm×34cm，一律竖式。</w:t>
      </w:r>
    </w:p>
    <w:p w14:paraId="6719850E">
      <w:pPr>
        <w:widowControl/>
        <w:spacing w:line="600" w:lineRule="exact"/>
        <w:ind w:firstLine="600"/>
        <w:rPr>
          <w:color w:val="000000"/>
          <w:kern w:val="0"/>
          <w:szCs w:val="21"/>
        </w:rPr>
      </w:pPr>
      <w:r>
        <w:rPr>
          <w:rFonts w:hint="eastAsia" w:ascii="仿宋_GB2312" w:eastAsia="仿宋_GB2312"/>
          <w:color w:val="000000"/>
          <w:kern w:val="0"/>
          <w:sz w:val="30"/>
          <w:szCs w:val="30"/>
        </w:rPr>
        <w:t>（4）机器篆刻类：作者根据设计稿以机器的方式制作篆刻作品的成品，并将钤印出的印蜕以印屏的形式呈现（需粘贴印蜕6-8方，需两个以上边款，作者自行粘贴、题签）。印屏尺寸为138cm×34cm，一律竖式。</w:t>
      </w:r>
    </w:p>
    <w:p w14:paraId="790BAE1F">
      <w:pPr>
        <w:widowControl/>
        <w:spacing w:line="600" w:lineRule="exact"/>
        <w:ind w:firstLine="602"/>
        <w:rPr>
          <w:color w:val="000000"/>
          <w:kern w:val="0"/>
          <w:szCs w:val="21"/>
        </w:rPr>
      </w:pPr>
      <w:r>
        <w:rPr>
          <w:rFonts w:hint="eastAsia" w:ascii="仿宋_GB2312" w:eastAsia="仿宋_GB2312"/>
          <w:b/>
          <w:bCs/>
          <w:color w:val="000000"/>
          <w:kern w:val="0"/>
          <w:sz w:val="30"/>
          <w:szCs w:val="30"/>
        </w:rPr>
        <w:t>3.提交要求</w:t>
      </w:r>
    </w:p>
    <w:p w14:paraId="2DC7EA5C">
      <w:pPr>
        <w:widowControl/>
        <w:spacing w:line="600" w:lineRule="exact"/>
        <w:ind w:firstLine="600"/>
        <w:rPr>
          <w:color w:val="000000"/>
          <w:kern w:val="0"/>
          <w:szCs w:val="21"/>
        </w:rPr>
      </w:pPr>
      <w:r>
        <w:rPr>
          <w:rFonts w:hint="eastAsia" w:ascii="仿宋_GB2312" w:eastAsia="仿宋_GB2312"/>
          <w:color w:val="000000"/>
          <w:kern w:val="0"/>
          <w:sz w:val="30"/>
          <w:szCs w:val="30"/>
        </w:rPr>
        <w:t>（1）参赛者于5月31日24:00前，登录中华经典诵写讲大赛网站（https://jdsxj.eduyun.cn），按官网要求正确、规范填写姓名、组别、作品名称、指导教师姓名等信息（上海赛区六年级为初中组），完成作品上传。参赛作品为参赛者独立完成，作品进入评审阶段后，相关信息不予更改。每人限报1名指导教师，教师组参赛者不填写指导教师。作品提交时间截至5月31日24:00。</w:t>
      </w:r>
    </w:p>
    <w:p w14:paraId="1E00B994">
      <w:pPr>
        <w:widowControl/>
        <w:spacing w:line="600" w:lineRule="exact"/>
        <w:ind w:firstLine="600"/>
        <w:rPr>
          <w:color w:val="000000"/>
          <w:kern w:val="0"/>
          <w:szCs w:val="21"/>
        </w:rPr>
      </w:pPr>
      <w:r>
        <w:rPr>
          <w:rFonts w:hint="eastAsia" w:ascii="仿宋_GB2312" w:eastAsia="仿宋_GB2312"/>
          <w:color w:val="000000"/>
          <w:kern w:val="0"/>
          <w:sz w:val="30"/>
          <w:szCs w:val="30"/>
        </w:rPr>
        <w:t>（2）手工篆刻类作品要求上传印屏照片，另附作品释文。</w:t>
      </w:r>
    </w:p>
    <w:p w14:paraId="7AD2ADEF">
      <w:pPr>
        <w:widowControl/>
        <w:spacing w:line="600" w:lineRule="exact"/>
        <w:ind w:firstLine="600"/>
        <w:rPr>
          <w:color w:val="000000"/>
          <w:kern w:val="0"/>
          <w:szCs w:val="21"/>
        </w:rPr>
      </w:pPr>
      <w:r>
        <w:rPr>
          <w:rFonts w:hint="eastAsia" w:ascii="仿宋_GB2312" w:eastAsia="仿宋_GB2312"/>
          <w:color w:val="000000"/>
          <w:kern w:val="0"/>
          <w:sz w:val="30"/>
          <w:szCs w:val="30"/>
        </w:rPr>
        <w:t>（3）机器篆刻类作品要求上传印屏照片、已完成印章实物照片，另附作品释文。</w:t>
      </w:r>
    </w:p>
    <w:p w14:paraId="36DECF67">
      <w:pPr>
        <w:widowControl/>
        <w:spacing w:line="600" w:lineRule="exact"/>
        <w:ind w:firstLine="600"/>
        <w:rPr>
          <w:color w:val="000000"/>
          <w:kern w:val="0"/>
          <w:szCs w:val="21"/>
        </w:rPr>
      </w:pPr>
      <w:r>
        <w:rPr>
          <w:rFonts w:hint="eastAsia" w:ascii="仿宋_GB2312" w:eastAsia="仿宋_GB2312"/>
          <w:color w:val="000000"/>
          <w:kern w:val="0"/>
          <w:sz w:val="30"/>
          <w:szCs w:val="30"/>
        </w:rPr>
        <w:t>（4）照片格式为jpg或jpeg，大小为1-5M，不超过5张，白色背景、无杂物，须有印面，要求能体现作品整体、局部等效果。</w:t>
      </w:r>
    </w:p>
    <w:p w14:paraId="36C27A05">
      <w:pPr>
        <w:widowControl/>
        <w:spacing w:line="600" w:lineRule="exact"/>
        <w:ind w:firstLine="600"/>
        <w:rPr>
          <w:rFonts w:hint="eastAsia"/>
        </w:rPr>
      </w:pPr>
      <w:r>
        <w:rPr>
          <w:rFonts w:hint="eastAsia" w:ascii="仿宋_GB2312" w:eastAsia="仿宋_GB2312"/>
          <w:color w:val="000000"/>
          <w:kern w:val="0"/>
          <w:sz w:val="30"/>
          <w:szCs w:val="30"/>
        </w:rPr>
        <w:t>（5）参赛者务必保留印屏实物，如入围全国赛评审，届时参赛者须按照相关要求参评，具体要求由分赛项执委会另行通知。</w:t>
      </w:r>
    </w:p>
    <w:p w14:paraId="65B41C4B">
      <w:pPr>
        <w:rPr>
          <w:rFonts w:hint="eastAsia"/>
        </w:rPr>
        <w:sectPr>
          <w:footerReference r:id="rId4" w:type="default"/>
          <w:pgSz w:w="11906" w:h="16838"/>
          <w:pgMar w:top="1474" w:right="1588" w:bottom="1474" w:left="1588" w:header="851" w:footer="992" w:gutter="0"/>
          <w:cols w:space="720" w:num="1"/>
          <w:docGrid w:type="linesAndChars" w:linePitch="312" w:charSpace="0"/>
        </w:sectPr>
      </w:pPr>
    </w:p>
    <w:p w14:paraId="1F28340B">
      <w:pPr>
        <w:adjustRightInd w:val="0"/>
        <w:snapToGrid w:val="0"/>
        <w:spacing w:line="460" w:lineRule="exact"/>
        <w:rPr>
          <w:rFonts w:hint="eastAsia" w:eastAsia="黑体" w:cs="仿宋_GB2312"/>
          <w:color w:val="000000"/>
          <w:sz w:val="32"/>
          <w:szCs w:val="28"/>
          <w:lang w:eastAsia="zh-CN"/>
        </w:rPr>
      </w:pPr>
      <w:r>
        <w:rPr>
          <w:rFonts w:hint="eastAsia" w:eastAsia="黑体" w:cs="仿宋_GB2312"/>
          <w:color w:val="000000"/>
          <w:sz w:val="32"/>
          <w:szCs w:val="28"/>
        </w:rPr>
        <w:t>附件5</w:t>
      </w:r>
      <w:r>
        <w:rPr>
          <w:rFonts w:hint="eastAsia" w:eastAsia="黑体" w:cs="仿宋_GB2312"/>
          <w:color w:val="000000"/>
          <w:sz w:val="32"/>
          <w:szCs w:val="28"/>
          <w:lang w:eastAsia="zh-CN"/>
        </w:rPr>
        <w:t>：</w:t>
      </w:r>
    </w:p>
    <w:p w14:paraId="3686005B">
      <w:pPr>
        <w:adjustRightInd w:val="0"/>
        <w:snapToGrid w:val="0"/>
        <w:spacing w:line="540" w:lineRule="exact"/>
        <w:jc w:val="center"/>
        <w:rPr>
          <w:rFonts w:hint="eastAsia" w:ascii="方正小标宋简体" w:hAnsi="华文中宋" w:eastAsia="方正小标宋简体"/>
          <w:color w:val="000000"/>
          <w:sz w:val="38"/>
          <w:szCs w:val="38"/>
        </w:rPr>
      </w:pPr>
    </w:p>
    <w:p w14:paraId="2647634B">
      <w:pPr>
        <w:adjustRightInd w:val="0"/>
        <w:snapToGrid w:val="0"/>
        <w:spacing w:line="540" w:lineRule="exact"/>
        <w:jc w:val="center"/>
        <w:rPr>
          <w:rFonts w:hint="eastAsia" w:ascii="华文中宋" w:hAnsi="华文中宋" w:eastAsia="华文中宋"/>
          <w:b/>
          <w:sz w:val="36"/>
          <w:szCs w:val="44"/>
        </w:rPr>
      </w:pPr>
      <w:r>
        <w:rPr>
          <w:rFonts w:hint="eastAsia" w:ascii="华文中宋" w:hAnsi="华文中宋" w:eastAsia="华文中宋"/>
          <w:b/>
          <w:sz w:val="36"/>
          <w:szCs w:val="44"/>
        </w:rPr>
        <w:t>第</w:t>
      </w:r>
      <w:r>
        <w:rPr>
          <w:rFonts w:hint="eastAsia" w:ascii="华文中宋" w:hAnsi="华文中宋" w:eastAsia="华文中宋"/>
          <w:b/>
          <w:sz w:val="36"/>
          <w:szCs w:val="44"/>
          <w:lang w:val="en-US" w:eastAsia="zh-CN"/>
        </w:rPr>
        <w:t>七</w:t>
      </w:r>
      <w:r>
        <w:rPr>
          <w:rFonts w:hint="eastAsia" w:ascii="华文中宋" w:hAnsi="华文中宋" w:eastAsia="华文中宋"/>
          <w:b/>
          <w:sz w:val="36"/>
          <w:szCs w:val="44"/>
        </w:rPr>
        <w:t>届中华经典诵写讲大赛报名表</w:t>
      </w:r>
    </w:p>
    <w:p w14:paraId="0E663517">
      <w:pPr>
        <w:adjustRightInd w:val="0"/>
        <w:snapToGrid w:val="0"/>
        <w:spacing w:line="540" w:lineRule="exact"/>
        <w:rPr>
          <w:szCs w:val="28"/>
        </w:rPr>
      </w:pPr>
      <w:r>
        <w:rPr>
          <w:rFonts w:hint="eastAsia"/>
          <w:szCs w:val="28"/>
        </w:rPr>
        <w:t>填表</w:t>
      </w:r>
      <w:r>
        <w:rPr>
          <w:szCs w:val="28"/>
        </w:rPr>
        <w:t>日期：</w:t>
      </w:r>
      <w:r>
        <w:rPr>
          <w:rFonts w:hint="eastAsia"/>
          <w:szCs w:val="28"/>
        </w:rPr>
        <w:t xml:space="preserve">      年   月   日</w:t>
      </w:r>
    </w:p>
    <w:tbl>
      <w:tblPr>
        <w:tblStyle w:val="3"/>
        <w:tblW w:w="14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1134"/>
        <w:gridCol w:w="2126"/>
        <w:gridCol w:w="1418"/>
        <w:gridCol w:w="2126"/>
        <w:gridCol w:w="1417"/>
        <w:gridCol w:w="1171"/>
        <w:gridCol w:w="1617"/>
        <w:gridCol w:w="1276"/>
      </w:tblGrid>
      <w:tr w14:paraId="16FE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87" w:type="dxa"/>
            <w:noWrap w:val="0"/>
            <w:vAlign w:val="center"/>
          </w:tcPr>
          <w:p w14:paraId="3659D10C">
            <w:pPr>
              <w:adjustRightInd w:val="0"/>
              <w:snapToGrid w:val="0"/>
              <w:spacing w:line="500" w:lineRule="exact"/>
              <w:jc w:val="center"/>
              <w:rPr>
                <w:b/>
                <w:sz w:val="28"/>
                <w:szCs w:val="28"/>
              </w:rPr>
            </w:pPr>
          </w:p>
        </w:tc>
        <w:tc>
          <w:tcPr>
            <w:tcW w:w="1134" w:type="dxa"/>
            <w:noWrap w:val="0"/>
            <w:vAlign w:val="center"/>
          </w:tcPr>
          <w:p w14:paraId="2030CDA6">
            <w:pPr>
              <w:adjustRightInd w:val="0"/>
              <w:snapToGrid w:val="0"/>
              <w:spacing w:line="500" w:lineRule="exact"/>
              <w:jc w:val="center"/>
              <w:rPr>
                <w:b/>
              </w:rPr>
            </w:pPr>
            <w:r>
              <w:rPr>
                <w:rFonts w:hint="eastAsia"/>
                <w:b/>
              </w:rPr>
              <w:t>联系人</w:t>
            </w:r>
          </w:p>
        </w:tc>
        <w:tc>
          <w:tcPr>
            <w:tcW w:w="2126" w:type="dxa"/>
            <w:noWrap/>
            <w:vAlign w:val="center"/>
          </w:tcPr>
          <w:p w14:paraId="4B027AA9">
            <w:pPr>
              <w:adjustRightInd w:val="0"/>
              <w:snapToGrid w:val="0"/>
              <w:spacing w:line="500" w:lineRule="exact"/>
              <w:jc w:val="center"/>
              <w:rPr>
                <w:b/>
              </w:rPr>
            </w:pPr>
          </w:p>
        </w:tc>
        <w:tc>
          <w:tcPr>
            <w:tcW w:w="1418" w:type="dxa"/>
            <w:noWrap/>
            <w:vAlign w:val="center"/>
          </w:tcPr>
          <w:p w14:paraId="4E1DFD91">
            <w:pPr>
              <w:adjustRightInd w:val="0"/>
              <w:snapToGrid w:val="0"/>
              <w:spacing w:line="500" w:lineRule="exact"/>
              <w:jc w:val="center"/>
              <w:rPr>
                <w:b/>
              </w:rPr>
            </w:pPr>
            <w:r>
              <w:rPr>
                <w:rFonts w:hint="eastAsia"/>
                <w:b/>
              </w:rPr>
              <w:t>联系电话</w:t>
            </w:r>
          </w:p>
        </w:tc>
        <w:tc>
          <w:tcPr>
            <w:tcW w:w="2126" w:type="dxa"/>
            <w:noWrap/>
            <w:vAlign w:val="center"/>
          </w:tcPr>
          <w:p w14:paraId="53447D6F">
            <w:pPr>
              <w:adjustRightInd w:val="0"/>
              <w:snapToGrid w:val="0"/>
              <w:spacing w:line="500" w:lineRule="exact"/>
              <w:jc w:val="center"/>
              <w:rPr>
                <w:b/>
              </w:rPr>
            </w:pPr>
          </w:p>
        </w:tc>
        <w:tc>
          <w:tcPr>
            <w:tcW w:w="1417" w:type="dxa"/>
            <w:noWrap w:val="0"/>
            <w:vAlign w:val="center"/>
          </w:tcPr>
          <w:p w14:paraId="3C307312">
            <w:pPr>
              <w:adjustRightInd w:val="0"/>
              <w:snapToGrid w:val="0"/>
              <w:spacing w:line="500" w:lineRule="exact"/>
              <w:jc w:val="center"/>
              <w:rPr>
                <w:b/>
              </w:rPr>
            </w:pPr>
            <w:r>
              <w:rPr>
                <w:rFonts w:hint="eastAsia"/>
                <w:b/>
              </w:rPr>
              <w:t>电子邮箱</w:t>
            </w:r>
          </w:p>
        </w:tc>
        <w:tc>
          <w:tcPr>
            <w:tcW w:w="4064" w:type="dxa"/>
            <w:gridSpan w:val="3"/>
            <w:noWrap/>
            <w:vAlign w:val="center"/>
          </w:tcPr>
          <w:p w14:paraId="5A74E9B1">
            <w:pPr>
              <w:adjustRightInd w:val="0"/>
              <w:snapToGrid w:val="0"/>
              <w:spacing w:line="500" w:lineRule="exact"/>
              <w:jc w:val="center"/>
              <w:rPr>
                <w:b/>
              </w:rPr>
            </w:pPr>
          </w:p>
        </w:tc>
      </w:tr>
      <w:tr w14:paraId="4D98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87" w:type="dxa"/>
            <w:noWrap w:val="0"/>
            <w:vAlign w:val="center"/>
          </w:tcPr>
          <w:p w14:paraId="51C462DE">
            <w:pPr>
              <w:adjustRightInd w:val="0"/>
              <w:snapToGrid w:val="0"/>
              <w:spacing w:line="500" w:lineRule="exact"/>
              <w:jc w:val="center"/>
              <w:rPr>
                <w:b/>
              </w:rPr>
            </w:pPr>
            <w:r>
              <w:rPr>
                <w:rFonts w:hint="eastAsia"/>
                <w:b/>
              </w:rPr>
              <w:t>赛  别</w:t>
            </w:r>
          </w:p>
        </w:tc>
        <w:tc>
          <w:tcPr>
            <w:tcW w:w="1134" w:type="dxa"/>
            <w:noWrap w:val="0"/>
            <w:vAlign w:val="center"/>
          </w:tcPr>
          <w:p w14:paraId="7B53AAA1">
            <w:pPr>
              <w:adjustRightInd w:val="0"/>
              <w:snapToGrid w:val="0"/>
              <w:spacing w:line="500" w:lineRule="exact"/>
              <w:jc w:val="center"/>
              <w:rPr>
                <w:b/>
              </w:rPr>
            </w:pPr>
            <w:r>
              <w:rPr>
                <w:rFonts w:hint="eastAsia"/>
                <w:b/>
              </w:rPr>
              <w:t>组  别</w:t>
            </w:r>
          </w:p>
        </w:tc>
        <w:tc>
          <w:tcPr>
            <w:tcW w:w="2126" w:type="dxa"/>
            <w:noWrap/>
            <w:vAlign w:val="center"/>
          </w:tcPr>
          <w:p w14:paraId="25FBA6EE">
            <w:pPr>
              <w:adjustRightInd w:val="0"/>
              <w:snapToGrid w:val="0"/>
              <w:spacing w:line="500" w:lineRule="exact"/>
              <w:jc w:val="center"/>
              <w:rPr>
                <w:b/>
              </w:rPr>
            </w:pPr>
            <w:r>
              <w:rPr>
                <w:rFonts w:hint="eastAsia"/>
                <w:b/>
              </w:rPr>
              <w:t>作品名称</w:t>
            </w:r>
          </w:p>
        </w:tc>
        <w:tc>
          <w:tcPr>
            <w:tcW w:w="1418" w:type="dxa"/>
            <w:noWrap/>
            <w:vAlign w:val="center"/>
          </w:tcPr>
          <w:p w14:paraId="4D77BABD">
            <w:pPr>
              <w:adjustRightInd w:val="0"/>
              <w:snapToGrid w:val="0"/>
              <w:spacing w:line="500" w:lineRule="exact"/>
              <w:jc w:val="center"/>
              <w:rPr>
                <w:b/>
              </w:rPr>
            </w:pPr>
            <w:r>
              <w:rPr>
                <w:rFonts w:hint="eastAsia"/>
                <w:b/>
              </w:rPr>
              <w:t>参赛者姓名</w:t>
            </w:r>
          </w:p>
        </w:tc>
        <w:tc>
          <w:tcPr>
            <w:tcW w:w="2126" w:type="dxa"/>
            <w:noWrap/>
            <w:vAlign w:val="center"/>
          </w:tcPr>
          <w:p w14:paraId="68FA555E">
            <w:pPr>
              <w:adjustRightInd w:val="0"/>
              <w:snapToGrid w:val="0"/>
              <w:spacing w:line="500" w:lineRule="exact"/>
              <w:jc w:val="center"/>
              <w:rPr>
                <w:rFonts w:hint="eastAsia"/>
                <w:b/>
              </w:rPr>
            </w:pPr>
            <w:r>
              <w:rPr>
                <w:rFonts w:hint="eastAsia"/>
                <w:b/>
              </w:rPr>
              <w:t>参赛者部门/学院</w:t>
            </w:r>
          </w:p>
        </w:tc>
        <w:tc>
          <w:tcPr>
            <w:tcW w:w="1417" w:type="dxa"/>
            <w:noWrap w:val="0"/>
            <w:vAlign w:val="center"/>
          </w:tcPr>
          <w:p w14:paraId="17C62FC7">
            <w:pPr>
              <w:adjustRightInd w:val="0"/>
              <w:snapToGrid w:val="0"/>
              <w:spacing w:line="500" w:lineRule="exact"/>
              <w:jc w:val="center"/>
              <w:rPr>
                <w:b/>
              </w:rPr>
            </w:pPr>
            <w:r>
              <w:rPr>
                <w:rFonts w:hint="eastAsia"/>
                <w:b/>
              </w:rPr>
              <w:t>联系电话</w:t>
            </w:r>
          </w:p>
        </w:tc>
        <w:tc>
          <w:tcPr>
            <w:tcW w:w="1171" w:type="dxa"/>
            <w:noWrap/>
            <w:vAlign w:val="center"/>
          </w:tcPr>
          <w:p w14:paraId="67727256">
            <w:pPr>
              <w:adjustRightInd w:val="0"/>
              <w:snapToGrid w:val="0"/>
              <w:spacing w:line="500" w:lineRule="exact"/>
              <w:jc w:val="center"/>
              <w:rPr>
                <w:b/>
              </w:rPr>
            </w:pPr>
            <w:r>
              <w:rPr>
                <w:rFonts w:hint="eastAsia"/>
                <w:b/>
              </w:rPr>
              <w:t>指导教师</w:t>
            </w:r>
          </w:p>
        </w:tc>
        <w:tc>
          <w:tcPr>
            <w:tcW w:w="1617" w:type="dxa"/>
            <w:noWrap/>
            <w:vAlign w:val="center"/>
          </w:tcPr>
          <w:p w14:paraId="3D4B5B34">
            <w:pPr>
              <w:adjustRightInd w:val="0"/>
              <w:snapToGrid w:val="0"/>
              <w:spacing w:line="500" w:lineRule="exact"/>
              <w:jc w:val="center"/>
              <w:rPr>
                <w:b/>
              </w:rPr>
            </w:pPr>
            <w:r>
              <w:rPr>
                <w:rFonts w:hint="eastAsia"/>
                <w:b/>
              </w:rPr>
              <w:t>教师单位</w:t>
            </w:r>
          </w:p>
        </w:tc>
        <w:tc>
          <w:tcPr>
            <w:tcW w:w="1276" w:type="dxa"/>
            <w:noWrap w:val="0"/>
            <w:vAlign w:val="center"/>
          </w:tcPr>
          <w:p w14:paraId="0123C5A0">
            <w:pPr>
              <w:adjustRightInd w:val="0"/>
              <w:snapToGrid w:val="0"/>
              <w:spacing w:line="500" w:lineRule="exact"/>
              <w:jc w:val="center"/>
              <w:rPr>
                <w:b/>
              </w:rPr>
            </w:pPr>
            <w:r>
              <w:rPr>
                <w:rFonts w:hint="eastAsia"/>
                <w:b/>
              </w:rPr>
              <w:t>备  注</w:t>
            </w:r>
          </w:p>
        </w:tc>
      </w:tr>
      <w:tr w14:paraId="5097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187" w:type="dxa"/>
            <w:noWrap w:val="0"/>
            <w:vAlign w:val="center"/>
          </w:tcPr>
          <w:p w14:paraId="6C7CBBB9">
            <w:pPr>
              <w:adjustRightInd w:val="0"/>
              <w:snapToGrid w:val="0"/>
              <w:spacing w:line="500" w:lineRule="exact"/>
              <w:jc w:val="center"/>
              <w:rPr>
                <w:b/>
                <w:sz w:val="28"/>
                <w:szCs w:val="28"/>
              </w:rPr>
            </w:pPr>
            <w:r>
              <w:rPr>
                <w:rFonts w:hint="eastAsia" w:ascii="Times New Roman" w:hAnsi="Times New Roman" w:eastAsia="宋体" w:cs="Times New Roman"/>
                <w:sz w:val="21"/>
                <w:szCs w:val="21"/>
                <w:lang w:val="en-US" w:eastAsia="zh-CN"/>
              </w:rPr>
              <w:t>诵读中国/诗教中国</w:t>
            </w:r>
          </w:p>
        </w:tc>
        <w:tc>
          <w:tcPr>
            <w:tcW w:w="1134" w:type="dxa"/>
            <w:noWrap w:val="0"/>
            <w:vAlign w:val="center"/>
          </w:tcPr>
          <w:p w14:paraId="4F5376CE">
            <w:pPr>
              <w:adjustRightInd w:val="0"/>
              <w:snapToGrid w:val="0"/>
              <w:spacing w:line="500" w:lineRule="exact"/>
              <w:jc w:val="center"/>
              <w:rPr>
                <w:rFonts w:hint="default" w:eastAsia="宋体"/>
                <w:sz w:val="28"/>
                <w:szCs w:val="28"/>
                <w:lang w:val="en-US" w:eastAsia="zh-CN"/>
              </w:rPr>
            </w:pPr>
            <w:r>
              <w:rPr>
                <w:rFonts w:hint="eastAsia"/>
                <w:sz w:val="21"/>
                <w:szCs w:val="21"/>
                <w:lang w:val="en-US" w:eastAsia="zh-CN"/>
              </w:rPr>
              <w:t>教师/学生</w:t>
            </w:r>
          </w:p>
        </w:tc>
        <w:tc>
          <w:tcPr>
            <w:tcW w:w="2126" w:type="dxa"/>
            <w:noWrap/>
            <w:vAlign w:val="center"/>
          </w:tcPr>
          <w:p w14:paraId="2D6CFFF3">
            <w:pPr>
              <w:adjustRightInd w:val="0"/>
              <w:snapToGrid w:val="0"/>
              <w:spacing w:line="500" w:lineRule="exact"/>
              <w:jc w:val="center"/>
              <w:rPr>
                <w:sz w:val="28"/>
                <w:szCs w:val="28"/>
              </w:rPr>
            </w:pPr>
          </w:p>
        </w:tc>
        <w:tc>
          <w:tcPr>
            <w:tcW w:w="1418" w:type="dxa"/>
            <w:noWrap/>
            <w:vAlign w:val="center"/>
          </w:tcPr>
          <w:p w14:paraId="2FE01837">
            <w:pPr>
              <w:adjustRightInd w:val="0"/>
              <w:snapToGrid w:val="0"/>
              <w:spacing w:line="500" w:lineRule="exact"/>
              <w:jc w:val="center"/>
              <w:rPr>
                <w:sz w:val="28"/>
                <w:szCs w:val="28"/>
              </w:rPr>
            </w:pPr>
          </w:p>
        </w:tc>
        <w:tc>
          <w:tcPr>
            <w:tcW w:w="2126" w:type="dxa"/>
            <w:noWrap/>
            <w:vAlign w:val="center"/>
          </w:tcPr>
          <w:p w14:paraId="35758977">
            <w:pPr>
              <w:adjustRightInd w:val="0"/>
              <w:snapToGrid w:val="0"/>
              <w:spacing w:line="500" w:lineRule="exact"/>
              <w:jc w:val="center"/>
              <w:rPr>
                <w:sz w:val="28"/>
                <w:szCs w:val="28"/>
              </w:rPr>
            </w:pPr>
          </w:p>
        </w:tc>
        <w:tc>
          <w:tcPr>
            <w:tcW w:w="1417" w:type="dxa"/>
            <w:noWrap w:val="0"/>
            <w:vAlign w:val="center"/>
          </w:tcPr>
          <w:p w14:paraId="354CA277">
            <w:pPr>
              <w:adjustRightInd w:val="0"/>
              <w:snapToGrid w:val="0"/>
              <w:spacing w:line="500" w:lineRule="exact"/>
              <w:jc w:val="center"/>
              <w:rPr>
                <w:sz w:val="28"/>
                <w:szCs w:val="28"/>
              </w:rPr>
            </w:pPr>
          </w:p>
        </w:tc>
        <w:tc>
          <w:tcPr>
            <w:tcW w:w="1171" w:type="dxa"/>
            <w:noWrap/>
            <w:vAlign w:val="center"/>
          </w:tcPr>
          <w:p w14:paraId="63ACA7F8">
            <w:pPr>
              <w:adjustRightInd w:val="0"/>
              <w:snapToGrid w:val="0"/>
              <w:spacing w:line="500" w:lineRule="exact"/>
              <w:jc w:val="center"/>
              <w:rPr>
                <w:sz w:val="28"/>
                <w:szCs w:val="28"/>
              </w:rPr>
            </w:pPr>
          </w:p>
        </w:tc>
        <w:tc>
          <w:tcPr>
            <w:tcW w:w="1617" w:type="dxa"/>
            <w:noWrap/>
            <w:vAlign w:val="center"/>
          </w:tcPr>
          <w:p w14:paraId="0CCFB404">
            <w:pPr>
              <w:adjustRightInd w:val="0"/>
              <w:snapToGrid w:val="0"/>
              <w:spacing w:line="500" w:lineRule="exact"/>
              <w:jc w:val="center"/>
              <w:rPr>
                <w:sz w:val="28"/>
                <w:szCs w:val="28"/>
              </w:rPr>
            </w:pPr>
          </w:p>
        </w:tc>
        <w:tc>
          <w:tcPr>
            <w:tcW w:w="1276" w:type="dxa"/>
            <w:noWrap w:val="0"/>
            <w:vAlign w:val="top"/>
          </w:tcPr>
          <w:p w14:paraId="7EE4BE7C">
            <w:pPr>
              <w:adjustRightInd w:val="0"/>
              <w:snapToGrid w:val="0"/>
              <w:spacing w:line="500" w:lineRule="exact"/>
              <w:jc w:val="center"/>
              <w:rPr>
                <w:sz w:val="28"/>
                <w:szCs w:val="28"/>
              </w:rPr>
            </w:pPr>
          </w:p>
        </w:tc>
      </w:tr>
      <w:tr w14:paraId="0755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2187" w:type="dxa"/>
            <w:noWrap w:val="0"/>
            <w:vAlign w:val="center"/>
          </w:tcPr>
          <w:p w14:paraId="59BE8234">
            <w:pPr>
              <w:adjustRightInd w:val="0"/>
              <w:snapToGrid w:val="0"/>
              <w:spacing w:line="500" w:lineRule="exact"/>
              <w:jc w:val="center"/>
              <w:rPr>
                <w:b/>
                <w:sz w:val="28"/>
                <w:szCs w:val="28"/>
              </w:rPr>
            </w:pPr>
          </w:p>
        </w:tc>
        <w:tc>
          <w:tcPr>
            <w:tcW w:w="1134" w:type="dxa"/>
            <w:noWrap w:val="0"/>
            <w:vAlign w:val="center"/>
          </w:tcPr>
          <w:p w14:paraId="773231BD">
            <w:pPr>
              <w:adjustRightInd w:val="0"/>
              <w:snapToGrid w:val="0"/>
              <w:spacing w:line="500" w:lineRule="exact"/>
              <w:jc w:val="center"/>
              <w:rPr>
                <w:sz w:val="28"/>
                <w:szCs w:val="28"/>
              </w:rPr>
            </w:pPr>
          </w:p>
        </w:tc>
        <w:tc>
          <w:tcPr>
            <w:tcW w:w="2126" w:type="dxa"/>
            <w:noWrap/>
            <w:vAlign w:val="center"/>
          </w:tcPr>
          <w:p w14:paraId="3D4909D8">
            <w:pPr>
              <w:adjustRightInd w:val="0"/>
              <w:snapToGrid w:val="0"/>
              <w:spacing w:line="500" w:lineRule="exact"/>
              <w:jc w:val="center"/>
              <w:rPr>
                <w:sz w:val="28"/>
                <w:szCs w:val="28"/>
              </w:rPr>
            </w:pPr>
          </w:p>
        </w:tc>
        <w:tc>
          <w:tcPr>
            <w:tcW w:w="1418" w:type="dxa"/>
            <w:noWrap/>
            <w:vAlign w:val="center"/>
          </w:tcPr>
          <w:p w14:paraId="622850FE">
            <w:pPr>
              <w:adjustRightInd w:val="0"/>
              <w:snapToGrid w:val="0"/>
              <w:spacing w:line="500" w:lineRule="exact"/>
              <w:jc w:val="center"/>
              <w:rPr>
                <w:sz w:val="28"/>
                <w:szCs w:val="28"/>
              </w:rPr>
            </w:pPr>
          </w:p>
        </w:tc>
        <w:tc>
          <w:tcPr>
            <w:tcW w:w="2126" w:type="dxa"/>
            <w:noWrap/>
            <w:vAlign w:val="center"/>
          </w:tcPr>
          <w:p w14:paraId="7823E7FE">
            <w:pPr>
              <w:adjustRightInd w:val="0"/>
              <w:snapToGrid w:val="0"/>
              <w:spacing w:line="500" w:lineRule="exact"/>
              <w:jc w:val="center"/>
              <w:rPr>
                <w:sz w:val="28"/>
                <w:szCs w:val="28"/>
              </w:rPr>
            </w:pPr>
          </w:p>
        </w:tc>
        <w:tc>
          <w:tcPr>
            <w:tcW w:w="1417" w:type="dxa"/>
            <w:noWrap w:val="0"/>
            <w:vAlign w:val="center"/>
          </w:tcPr>
          <w:p w14:paraId="4300228A">
            <w:pPr>
              <w:adjustRightInd w:val="0"/>
              <w:snapToGrid w:val="0"/>
              <w:spacing w:line="500" w:lineRule="exact"/>
              <w:jc w:val="center"/>
              <w:rPr>
                <w:sz w:val="28"/>
                <w:szCs w:val="28"/>
              </w:rPr>
            </w:pPr>
          </w:p>
        </w:tc>
        <w:tc>
          <w:tcPr>
            <w:tcW w:w="1171" w:type="dxa"/>
            <w:noWrap/>
            <w:vAlign w:val="center"/>
          </w:tcPr>
          <w:p w14:paraId="719BFA24">
            <w:pPr>
              <w:adjustRightInd w:val="0"/>
              <w:snapToGrid w:val="0"/>
              <w:spacing w:line="500" w:lineRule="exact"/>
              <w:jc w:val="center"/>
              <w:rPr>
                <w:sz w:val="28"/>
                <w:szCs w:val="28"/>
              </w:rPr>
            </w:pPr>
          </w:p>
        </w:tc>
        <w:tc>
          <w:tcPr>
            <w:tcW w:w="1617" w:type="dxa"/>
            <w:noWrap/>
            <w:vAlign w:val="center"/>
          </w:tcPr>
          <w:p w14:paraId="5105A40F">
            <w:pPr>
              <w:adjustRightInd w:val="0"/>
              <w:snapToGrid w:val="0"/>
              <w:spacing w:line="500" w:lineRule="exact"/>
              <w:jc w:val="center"/>
              <w:rPr>
                <w:sz w:val="28"/>
                <w:szCs w:val="28"/>
              </w:rPr>
            </w:pPr>
          </w:p>
        </w:tc>
        <w:tc>
          <w:tcPr>
            <w:tcW w:w="1276" w:type="dxa"/>
            <w:noWrap w:val="0"/>
            <w:vAlign w:val="top"/>
          </w:tcPr>
          <w:p w14:paraId="5A3AF1E2">
            <w:pPr>
              <w:adjustRightInd w:val="0"/>
              <w:snapToGrid w:val="0"/>
              <w:spacing w:line="500" w:lineRule="exact"/>
              <w:jc w:val="center"/>
              <w:rPr>
                <w:sz w:val="28"/>
                <w:szCs w:val="28"/>
              </w:rPr>
            </w:pPr>
          </w:p>
        </w:tc>
      </w:tr>
      <w:tr w14:paraId="650E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87" w:type="dxa"/>
            <w:noWrap w:val="0"/>
            <w:vAlign w:val="center"/>
          </w:tcPr>
          <w:p w14:paraId="72D39908">
            <w:pPr>
              <w:adjustRightInd w:val="0"/>
              <w:snapToGrid w:val="0"/>
              <w:spacing w:line="500" w:lineRule="exact"/>
              <w:jc w:val="center"/>
              <w:rPr>
                <w:b/>
                <w:szCs w:val="28"/>
              </w:rPr>
            </w:pPr>
          </w:p>
        </w:tc>
        <w:tc>
          <w:tcPr>
            <w:tcW w:w="1134" w:type="dxa"/>
            <w:noWrap w:val="0"/>
            <w:vAlign w:val="center"/>
          </w:tcPr>
          <w:p w14:paraId="3FCA6D65">
            <w:pPr>
              <w:adjustRightInd w:val="0"/>
              <w:snapToGrid w:val="0"/>
              <w:spacing w:line="500" w:lineRule="exact"/>
              <w:jc w:val="center"/>
              <w:rPr>
                <w:sz w:val="28"/>
                <w:szCs w:val="28"/>
              </w:rPr>
            </w:pPr>
          </w:p>
        </w:tc>
        <w:tc>
          <w:tcPr>
            <w:tcW w:w="2126" w:type="dxa"/>
            <w:noWrap/>
            <w:vAlign w:val="center"/>
          </w:tcPr>
          <w:p w14:paraId="06B3C56E">
            <w:pPr>
              <w:adjustRightInd w:val="0"/>
              <w:snapToGrid w:val="0"/>
              <w:spacing w:line="500" w:lineRule="exact"/>
              <w:jc w:val="center"/>
              <w:rPr>
                <w:sz w:val="28"/>
                <w:szCs w:val="28"/>
              </w:rPr>
            </w:pPr>
          </w:p>
        </w:tc>
        <w:tc>
          <w:tcPr>
            <w:tcW w:w="1418" w:type="dxa"/>
            <w:noWrap/>
            <w:vAlign w:val="center"/>
          </w:tcPr>
          <w:p w14:paraId="194B4042">
            <w:pPr>
              <w:adjustRightInd w:val="0"/>
              <w:snapToGrid w:val="0"/>
              <w:spacing w:line="500" w:lineRule="exact"/>
              <w:jc w:val="center"/>
              <w:rPr>
                <w:sz w:val="28"/>
                <w:szCs w:val="28"/>
              </w:rPr>
            </w:pPr>
          </w:p>
        </w:tc>
        <w:tc>
          <w:tcPr>
            <w:tcW w:w="2126" w:type="dxa"/>
            <w:noWrap/>
            <w:vAlign w:val="center"/>
          </w:tcPr>
          <w:p w14:paraId="5F8E13D7">
            <w:pPr>
              <w:adjustRightInd w:val="0"/>
              <w:snapToGrid w:val="0"/>
              <w:spacing w:line="500" w:lineRule="exact"/>
              <w:jc w:val="center"/>
              <w:rPr>
                <w:sz w:val="28"/>
                <w:szCs w:val="28"/>
              </w:rPr>
            </w:pPr>
          </w:p>
        </w:tc>
        <w:tc>
          <w:tcPr>
            <w:tcW w:w="1417" w:type="dxa"/>
            <w:noWrap w:val="0"/>
            <w:vAlign w:val="center"/>
          </w:tcPr>
          <w:p w14:paraId="42D72E06">
            <w:pPr>
              <w:adjustRightInd w:val="0"/>
              <w:snapToGrid w:val="0"/>
              <w:spacing w:line="500" w:lineRule="exact"/>
              <w:jc w:val="center"/>
              <w:rPr>
                <w:sz w:val="28"/>
                <w:szCs w:val="28"/>
              </w:rPr>
            </w:pPr>
          </w:p>
        </w:tc>
        <w:tc>
          <w:tcPr>
            <w:tcW w:w="1171" w:type="dxa"/>
            <w:noWrap/>
            <w:vAlign w:val="center"/>
          </w:tcPr>
          <w:p w14:paraId="78BC0C8A">
            <w:pPr>
              <w:adjustRightInd w:val="0"/>
              <w:snapToGrid w:val="0"/>
              <w:spacing w:line="500" w:lineRule="exact"/>
              <w:jc w:val="center"/>
              <w:rPr>
                <w:sz w:val="28"/>
                <w:szCs w:val="28"/>
              </w:rPr>
            </w:pPr>
          </w:p>
        </w:tc>
        <w:tc>
          <w:tcPr>
            <w:tcW w:w="1617" w:type="dxa"/>
            <w:noWrap/>
            <w:vAlign w:val="center"/>
          </w:tcPr>
          <w:p w14:paraId="0C2BD17E">
            <w:pPr>
              <w:adjustRightInd w:val="0"/>
              <w:snapToGrid w:val="0"/>
              <w:spacing w:line="500" w:lineRule="exact"/>
              <w:jc w:val="center"/>
              <w:rPr>
                <w:sz w:val="28"/>
                <w:szCs w:val="28"/>
              </w:rPr>
            </w:pPr>
          </w:p>
        </w:tc>
        <w:tc>
          <w:tcPr>
            <w:tcW w:w="1276" w:type="dxa"/>
            <w:noWrap w:val="0"/>
            <w:vAlign w:val="top"/>
          </w:tcPr>
          <w:p w14:paraId="31836712">
            <w:pPr>
              <w:adjustRightInd w:val="0"/>
              <w:snapToGrid w:val="0"/>
              <w:spacing w:line="500" w:lineRule="exact"/>
              <w:jc w:val="center"/>
              <w:rPr>
                <w:sz w:val="28"/>
                <w:szCs w:val="28"/>
              </w:rPr>
            </w:pPr>
          </w:p>
        </w:tc>
      </w:tr>
      <w:tr w14:paraId="1772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87" w:type="dxa"/>
            <w:noWrap w:val="0"/>
            <w:vAlign w:val="center"/>
          </w:tcPr>
          <w:p w14:paraId="5BB3E7C5">
            <w:pPr>
              <w:adjustRightInd w:val="0"/>
              <w:snapToGrid w:val="0"/>
              <w:spacing w:line="500" w:lineRule="exact"/>
              <w:jc w:val="center"/>
              <w:rPr>
                <w:b/>
                <w:sz w:val="28"/>
                <w:szCs w:val="28"/>
              </w:rPr>
            </w:pPr>
          </w:p>
        </w:tc>
        <w:tc>
          <w:tcPr>
            <w:tcW w:w="1134" w:type="dxa"/>
            <w:noWrap w:val="0"/>
            <w:vAlign w:val="center"/>
          </w:tcPr>
          <w:p w14:paraId="65BCE5ED">
            <w:pPr>
              <w:adjustRightInd w:val="0"/>
              <w:snapToGrid w:val="0"/>
              <w:spacing w:line="500" w:lineRule="exact"/>
              <w:jc w:val="center"/>
              <w:rPr>
                <w:sz w:val="28"/>
                <w:szCs w:val="28"/>
              </w:rPr>
            </w:pPr>
          </w:p>
        </w:tc>
        <w:tc>
          <w:tcPr>
            <w:tcW w:w="2126" w:type="dxa"/>
            <w:noWrap/>
            <w:vAlign w:val="center"/>
          </w:tcPr>
          <w:p w14:paraId="3E9CC794">
            <w:pPr>
              <w:adjustRightInd w:val="0"/>
              <w:snapToGrid w:val="0"/>
              <w:spacing w:line="500" w:lineRule="exact"/>
              <w:jc w:val="center"/>
              <w:rPr>
                <w:sz w:val="28"/>
                <w:szCs w:val="28"/>
              </w:rPr>
            </w:pPr>
          </w:p>
        </w:tc>
        <w:tc>
          <w:tcPr>
            <w:tcW w:w="1418" w:type="dxa"/>
            <w:noWrap/>
            <w:vAlign w:val="center"/>
          </w:tcPr>
          <w:p w14:paraId="07D25C19">
            <w:pPr>
              <w:adjustRightInd w:val="0"/>
              <w:snapToGrid w:val="0"/>
              <w:spacing w:line="500" w:lineRule="exact"/>
              <w:jc w:val="center"/>
              <w:rPr>
                <w:sz w:val="28"/>
                <w:szCs w:val="28"/>
              </w:rPr>
            </w:pPr>
          </w:p>
        </w:tc>
        <w:tc>
          <w:tcPr>
            <w:tcW w:w="2126" w:type="dxa"/>
            <w:noWrap/>
            <w:vAlign w:val="center"/>
          </w:tcPr>
          <w:p w14:paraId="5A6FBE4F">
            <w:pPr>
              <w:adjustRightInd w:val="0"/>
              <w:snapToGrid w:val="0"/>
              <w:spacing w:line="500" w:lineRule="exact"/>
              <w:jc w:val="center"/>
              <w:rPr>
                <w:sz w:val="28"/>
                <w:szCs w:val="28"/>
              </w:rPr>
            </w:pPr>
          </w:p>
        </w:tc>
        <w:tc>
          <w:tcPr>
            <w:tcW w:w="1417" w:type="dxa"/>
            <w:noWrap w:val="0"/>
            <w:vAlign w:val="center"/>
          </w:tcPr>
          <w:p w14:paraId="44C2D63B">
            <w:pPr>
              <w:adjustRightInd w:val="0"/>
              <w:snapToGrid w:val="0"/>
              <w:spacing w:line="500" w:lineRule="exact"/>
              <w:jc w:val="center"/>
              <w:rPr>
                <w:sz w:val="28"/>
                <w:szCs w:val="28"/>
              </w:rPr>
            </w:pPr>
          </w:p>
        </w:tc>
        <w:tc>
          <w:tcPr>
            <w:tcW w:w="1171" w:type="dxa"/>
            <w:noWrap/>
            <w:vAlign w:val="center"/>
          </w:tcPr>
          <w:p w14:paraId="0603E5FA">
            <w:pPr>
              <w:adjustRightInd w:val="0"/>
              <w:snapToGrid w:val="0"/>
              <w:spacing w:line="500" w:lineRule="exact"/>
              <w:jc w:val="center"/>
              <w:rPr>
                <w:sz w:val="28"/>
                <w:szCs w:val="28"/>
              </w:rPr>
            </w:pPr>
          </w:p>
        </w:tc>
        <w:tc>
          <w:tcPr>
            <w:tcW w:w="1617" w:type="dxa"/>
            <w:noWrap/>
            <w:vAlign w:val="center"/>
          </w:tcPr>
          <w:p w14:paraId="449F8A06">
            <w:pPr>
              <w:adjustRightInd w:val="0"/>
              <w:snapToGrid w:val="0"/>
              <w:spacing w:line="500" w:lineRule="exact"/>
              <w:jc w:val="center"/>
              <w:rPr>
                <w:sz w:val="28"/>
                <w:szCs w:val="28"/>
              </w:rPr>
            </w:pPr>
          </w:p>
        </w:tc>
        <w:tc>
          <w:tcPr>
            <w:tcW w:w="1276" w:type="dxa"/>
            <w:noWrap w:val="0"/>
            <w:vAlign w:val="top"/>
          </w:tcPr>
          <w:p w14:paraId="12A08661">
            <w:pPr>
              <w:adjustRightInd w:val="0"/>
              <w:snapToGrid w:val="0"/>
              <w:spacing w:line="500" w:lineRule="exact"/>
              <w:jc w:val="center"/>
              <w:rPr>
                <w:sz w:val="28"/>
                <w:szCs w:val="28"/>
              </w:rPr>
            </w:pPr>
          </w:p>
        </w:tc>
      </w:tr>
      <w:tr w14:paraId="14E2B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87" w:type="dxa"/>
            <w:noWrap w:val="0"/>
            <w:vAlign w:val="center"/>
          </w:tcPr>
          <w:p w14:paraId="677B7073">
            <w:pPr>
              <w:adjustRightInd w:val="0"/>
              <w:snapToGrid w:val="0"/>
              <w:spacing w:line="500" w:lineRule="exact"/>
              <w:jc w:val="center"/>
              <w:rPr>
                <w:b/>
                <w:szCs w:val="28"/>
              </w:rPr>
            </w:pPr>
          </w:p>
        </w:tc>
        <w:tc>
          <w:tcPr>
            <w:tcW w:w="1134" w:type="dxa"/>
            <w:noWrap w:val="0"/>
            <w:vAlign w:val="center"/>
          </w:tcPr>
          <w:p w14:paraId="625DD01B">
            <w:pPr>
              <w:adjustRightInd w:val="0"/>
              <w:snapToGrid w:val="0"/>
              <w:spacing w:line="500" w:lineRule="exact"/>
              <w:jc w:val="center"/>
              <w:rPr>
                <w:sz w:val="28"/>
                <w:szCs w:val="28"/>
              </w:rPr>
            </w:pPr>
          </w:p>
        </w:tc>
        <w:tc>
          <w:tcPr>
            <w:tcW w:w="2126" w:type="dxa"/>
            <w:noWrap/>
            <w:vAlign w:val="center"/>
          </w:tcPr>
          <w:p w14:paraId="72B9A99B">
            <w:pPr>
              <w:adjustRightInd w:val="0"/>
              <w:snapToGrid w:val="0"/>
              <w:spacing w:line="500" w:lineRule="exact"/>
              <w:jc w:val="center"/>
              <w:rPr>
                <w:sz w:val="28"/>
                <w:szCs w:val="28"/>
              </w:rPr>
            </w:pPr>
          </w:p>
        </w:tc>
        <w:tc>
          <w:tcPr>
            <w:tcW w:w="1418" w:type="dxa"/>
            <w:noWrap/>
            <w:vAlign w:val="center"/>
          </w:tcPr>
          <w:p w14:paraId="42F165C6">
            <w:pPr>
              <w:adjustRightInd w:val="0"/>
              <w:snapToGrid w:val="0"/>
              <w:spacing w:line="500" w:lineRule="exact"/>
              <w:jc w:val="center"/>
              <w:rPr>
                <w:sz w:val="28"/>
                <w:szCs w:val="28"/>
              </w:rPr>
            </w:pPr>
          </w:p>
        </w:tc>
        <w:tc>
          <w:tcPr>
            <w:tcW w:w="2126" w:type="dxa"/>
            <w:noWrap/>
            <w:vAlign w:val="center"/>
          </w:tcPr>
          <w:p w14:paraId="1EF5ED47">
            <w:pPr>
              <w:adjustRightInd w:val="0"/>
              <w:snapToGrid w:val="0"/>
              <w:spacing w:line="500" w:lineRule="exact"/>
              <w:jc w:val="center"/>
              <w:rPr>
                <w:sz w:val="28"/>
                <w:szCs w:val="28"/>
              </w:rPr>
            </w:pPr>
          </w:p>
        </w:tc>
        <w:tc>
          <w:tcPr>
            <w:tcW w:w="1417" w:type="dxa"/>
            <w:noWrap w:val="0"/>
            <w:vAlign w:val="center"/>
          </w:tcPr>
          <w:p w14:paraId="5C06B834">
            <w:pPr>
              <w:adjustRightInd w:val="0"/>
              <w:snapToGrid w:val="0"/>
              <w:spacing w:line="500" w:lineRule="exact"/>
              <w:jc w:val="center"/>
              <w:rPr>
                <w:sz w:val="28"/>
                <w:szCs w:val="28"/>
              </w:rPr>
            </w:pPr>
          </w:p>
        </w:tc>
        <w:tc>
          <w:tcPr>
            <w:tcW w:w="1171" w:type="dxa"/>
            <w:noWrap/>
            <w:vAlign w:val="center"/>
          </w:tcPr>
          <w:p w14:paraId="570D74F8">
            <w:pPr>
              <w:adjustRightInd w:val="0"/>
              <w:snapToGrid w:val="0"/>
              <w:spacing w:line="500" w:lineRule="exact"/>
              <w:jc w:val="center"/>
              <w:rPr>
                <w:sz w:val="28"/>
                <w:szCs w:val="28"/>
              </w:rPr>
            </w:pPr>
          </w:p>
        </w:tc>
        <w:tc>
          <w:tcPr>
            <w:tcW w:w="1617" w:type="dxa"/>
            <w:noWrap/>
            <w:vAlign w:val="center"/>
          </w:tcPr>
          <w:p w14:paraId="40CD4E06">
            <w:pPr>
              <w:adjustRightInd w:val="0"/>
              <w:snapToGrid w:val="0"/>
              <w:spacing w:line="500" w:lineRule="exact"/>
              <w:jc w:val="center"/>
              <w:rPr>
                <w:sz w:val="28"/>
                <w:szCs w:val="28"/>
              </w:rPr>
            </w:pPr>
          </w:p>
        </w:tc>
        <w:tc>
          <w:tcPr>
            <w:tcW w:w="1276" w:type="dxa"/>
            <w:noWrap w:val="0"/>
            <w:vAlign w:val="top"/>
          </w:tcPr>
          <w:p w14:paraId="4931D866">
            <w:pPr>
              <w:adjustRightInd w:val="0"/>
              <w:snapToGrid w:val="0"/>
              <w:spacing w:line="500" w:lineRule="exact"/>
              <w:jc w:val="center"/>
              <w:rPr>
                <w:sz w:val="28"/>
                <w:szCs w:val="28"/>
              </w:rPr>
            </w:pPr>
          </w:p>
        </w:tc>
      </w:tr>
      <w:tr w14:paraId="57F96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187" w:type="dxa"/>
            <w:noWrap w:val="0"/>
            <w:vAlign w:val="center"/>
          </w:tcPr>
          <w:p w14:paraId="59554F32">
            <w:pPr>
              <w:adjustRightInd w:val="0"/>
              <w:snapToGrid w:val="0"/>
              <w:spacing w:line="500" w:lineRule="exact"/>
              <w:jc w:val="center"/>
              <w:rPr>
                <w:b/>
                <w:sz w:val="28"/>
                <w:szCs w:val="28"/>
              </w:rPr>
            </w:pPr>
          </w:p>
        </w:tc>
        <w:tc>
          <w:tcPr>
            <w:tcW w:w="1134" w:type="dxa"/>
            <w:noWrap w:val="0"/>
            <w:vAlign w:val="center"/>
          </w:tcPr>
          <w:p w14:paraId="224829DF">
            <w:pPr>
              <w:adjustRightInd w:val="0"/>
              <w:snapToGrid w:val="0"/>
              <w:spacing w:line="500" w:lineRule="exact"/>
              <w:jc w:val="center"/>
              <w:rPr>
                <w:sz w:val="28"/>
                <w:szCs w:val="28"/>
              </w:rPr>
            </w:pPr>
          </w:p>
        </w:tc>
        <w:tc>
          <w:tcPr>
            <w:tcW w:w="2126" w:type="dxa"/>
            <w:noWrap/>
            <w:vAlign w:val="center"/>
          </w:tcPr>
          <w:p w14:paraId="699D241D">
            <w:pPr>
              <w:adjustRightInd w:val="0"/>
              <w:snapToGrid w:val="0"/>
              <w:spacing w:line="500" w:lineRule="exact"/>
              <w:jc w:val="center"/>
              <w:rPr>
                <w:sz w:val="28"/>
                <w:szCs w:val="28"/>
              </w:rPr>
            </w:pPr>
          </w:p>
        </w:tc>
        <w:tc>
          <w:tcPr>
            <w:tcW w:w="1418" w:type="dxa"/>
            <w:noWrap/>
            <w:vAlign w:val="center"/>
          </w:tcPr>
          <w:p w14:paraId="5CE2451A">
            <w:pPr>
              <w:adjustRightInd w:val="0"/>
              <w:snapToGrid w:val="0"/>
              <w:spacing w:line="500" w:lineRule="exact"/>
              <w:jc w:val="center"/>
              <w:rPr>
                <w:sz w:val="28"/>
                <w:szCs w:val="28"/>
              </w:rPr>
            </w:pPr>
          </w:p>
        </w:tc>
        <w:tc>
          <w:tcPr>
            <w:tcW w:w="2126" w:type="dxa"/>
            <w:noWrap/>
            <w:vAlign w:val="center"/>
          </w:tcPr>
          <w:p w14:paraId="524CE0EB">
            <w:pPr>
              <w:adjustRightInd w:val="0"/>
              <w:snapToGrid w:val="0"/>
              <w:spacing w:line="500" w:lineRule="exact"/>
              <w:jc w:val="center"/>
              <w:rPr>
                <w:sz w:val="28"/>
                <w:szCs w:val="28"/>
              </w:rPr>
            </w:pPr>
          </w:p>
        </w:tc>
        <w:tc>
          <w:tcPr>
            <w:tcW w:w="1417" w:type="dxa"/>
            <w:noWrap w:val="0"/>
            <w:vAlign w:val="center"/>
          </w:tcPr>
          <w:p w14:paraId="1A1A20AC">
            <w:pPr>
              <w:adjustRightInd w:val="0"/>
              <w:snapToGrid w:val="0"/>
              <w:spacing w:line="500" w:lineRule="exact"/>
              <w:jc w:val="center"/>
              <w:rPr>
                <w:sz w:val="28"/>
                <w:szCs w:val="28"/>
              </w:rPr>
            </w:pPr>
          </w:p>
        </w:tc>
        <w:tc>
          <w:tcPr>
            <w:tcW w:w="1171" w:type="dxa"/>
            <w:noWrap/>
            <w:vAlign w:val="center"/>
          </w:tcPr>
          <w:p w14:paraId="303F84DB">
            <w:pPr>
              <w:adjustRightInd w:val="0"/>
              <w:snapToGrid w:val="0"/>
              <w:spacing w:line="500" w:lineRule="exact"/>
              <w:jc w:val="center"/>
              <w:rPr>
                <w:sz w:val="28"/>
                <w:szCs w:val="28"/>
              </w:rPr>
            </w:pPr>
          </w:p>
        </w:tc>
        <w:tc>
          <w:tcPr>
            <w:tcW w:w="1617" w:type="dxa"/>
            <w:noWrap/>
            <w:vAlign w:val="center"/>
          </w:tcPr>
          <w:p w14:paraId="0B0F91E0">
            <w:pPr>
              <w:adjustRightInd w:val="0"/>
              <w:snapToGrid w:val="0"/>
              <w:spacing w:line="500" w:lineRule="exact"/>
              <w:jc w:val="center"/>
              <w:rPr>
                <w:sz w:val="28"/>
                <w:szCs w:val="28"/>
              </w:rPr>
            </w:pPr>
          </w:p>
        </w:tc>
        <w:tc>
          <w:tcPr>
            <w:tcW w:w="1276" w:type="dxa"/>
            <w:noWrap w:val="0"/>
            <w:vAlign w:val="top"/>
          </w:tcPr>
          <w:p w14:paraId="3753F04E">
            <w:pPr>
              <w:adjustRightInd w:val="0"/>
              <w:snapToGrid w:val="0"/>
              <w:spacing w:line="500" w:lineRule="exact"/>
              <w:jc w:val="center"/>
              <w:rPr>
                <w:sz w:val="28"/>
                <w:szCs w:val="28"/>
              </w:rPr>
            </w:pPr>
          </w:p>
        </w:tc>
      </w:tr>
    </w:tbl>
    <w:p w14:paraId="093CEF96">
      <w:pPr>
        <w:rPr>
          <w:rFonts w:hint="default" w:eastAsia="宋体"/>
          <w:lang w:val="en-US" w:eastAsia="zh-CN"/>
        </w:rPr>
      </w:pPr>
    </w:p>
    <w:p w14:paraId="784F722C">
      <w:pPr>
        <w:rPr>
          <w:rFonts w:hint="default" w:eastAsia="宋体"/>
          <w:lang w:val="en-US" w:eastAsia="zh-CN"/>
        </w:rPr>
      </w:pPr>
    </w:p>
    <w:p w14:paraId="5A3E7E92">
      <w:bookmarkStart w:id="2" w:name="_GoBack"/>
      <w:bookmarkEnd w:id="2"/>
    </w:p>
    <w:sectPr>
      <w:pgSz w:w="16838" w:h="11906" w:orient="landscape"/>
      <w:pgMar w:top="1588" w:right="1474" w:bottom="158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E983E">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3</w:t>
    </w:r>
    <w:r>
      <w:rPr>
        <w:sz w:val="28"/>
        <w:szCs w:val="28"/>
      </w:rPr>
      <w:fldChar w:fldCharType="end"/>
    </w:r>
  </w:p>
  <w:p w14:paraId="2AEF72E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2BA9">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7</w:t>
    </w:r>
    <w:r>
      <w:rPr>
        <w:sz w:val="28"/>
        <w:szCs w:val="28"/>
      </w:rPr>
      <w:fldChar w:fldCharType="end"/>
    </w:r>
  </w:p>
  <w:p w14:paraId="617A3400">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C839B"/>
    <w:multiLevelType w:val="singleLevel"/>
    <w:tmpl w:val="C71C839B"/>
    <w:lvl w:ilvl="0" w:tentative="0">
      <w:start w:val="1"/>
      <w:numFmt w:val="chineseCounting"/>
      <w:suff w:val="nothing"/>
      <w:lvlText w:val="%1、"/>
      <w:lvlJc w:val="left"/>
      <w:pPr>
        <w:ind w:left="30"/>
      </w:pPr>
      <w:rPr>
        <w:rFonts w:hint="eastAsia"/>
      </w:rPr>
    </w:lvl>
  </w:abstractNum>
  <w:abstractNum w:abstractNumId="1">
    <w:nsid w:val="484ADEFF"/>
    <w:multiLevelType w:val="singleLevel"/>
    <w:tmpl w:val="484ADEF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C1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2025-04-15T01:57:24Z</dcterms:created>
  <dc:creator>admin</dc:creator>
  <cp:lastModifiedBy>安河</cp:lastModifiedBy>
  <dcterms:modified xsi:type="dcterms:W3CDTF">2025-04-15T01:58:53Z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eyJoZGlkIjoiYzU0YjI4MTBjODFjNzM5M2IyNzMyYThlMTViODBiMWYiLCJ1c2VySWQiOiI0MTk4NjE1MTEifQ==</vt:lpwstr>
  </property>
  <property fmtid="{D5CDD505-2E9C-101B-9397-08002B2CF9AE}" pid="4" name="ICV">
    <vt:lpwstr>ECF109383904437B9899C2633E7BC658_12</vt:lpwstr>
  </property>
</Properties>
</file>