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0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附件4：</w:t>
      </w:r>
    </w:p>
    <w:p>
      <w:pPr>
        <w:adjustRightInd w:val="0"/>
        <w:snapToGrid w:val="0"/>
        <w:spacing w:line="500" w:lineRule="exact"/>
        <w:jc w:val="center"/>
        <w:rPr>
          <w:rFonts w:hint="eastAsia" w:ascii="方正小标宋简体" w:eastAsia="方正小标宋简体"/>
          <w:sz w:val="36"/>
          <w:szCs w:val="38"/>
        </w:rPr>
      </w:pPr>
    </w:p>
    <w:p>
      <w:pPr>
        <w:adjustRightInd w:val="0"/>
        <w:snapToGrid w:val="0"/>
        <w:spacing w:line="500" w:lineRule="exact"/>
        <w:jc w:val="center"/>
        <w:rPr>
          <w:rFonts w:hint="eastAsia" w:ascii="方正小标宋简体" w:eastAsia="方正小标宋简体"/>
          <w:sz w:val="36"/>
          <w:szCs w:val="38"/>
        </w:rPr>
      </w:pPr>
      <w:r>
        <w:rPr>
          <w:rFonts w:hint="eastAsia" w:ascii="方正小标宋简体" w:eastAsia="方正小标宋简体"/>
          <w:sz w:val="36"/>
          <w:szCs w:val="38"/>
        </w:rPr>
        <w:t>上外贤达学院校级课程建设项目申报指南</w:t>
      </w:r>
    </w:p>
    <w:p>
      <w:pPr>
        <w:adjustRightInd w:val="0"/>
        <w:snapToGrid w:val="0"/>
        <w:spacing w:line="500" w:lineRule="exact"/>
        <w:ind w:firstLine="600" w:firstLineChars="200"/>
        <w:rPr>
          <w:rFonts w:ascii="仿宋_GB2312" w:hAnsi="Tahoma" w:eastAsia="仿宋_GB2312"/>
          <w:kern w:val="0"/>
          <w:sz w:val="30"/>
          <w:szCs w:val="30"/>
        </w:rPr>
      </w:pPr>
      <w:r>
        <w:rPr>
          <w:rFonts w:hint="eastAsia" w:ascii="仿宋_GB2312" w:hAnsi="Tahoma" w:eastAsia="仿宋_GB2312"/>
          <w:kern w:val="0"/>
          <w:sz w:val="30"/>
          <w:szCs w:val="30"/>
        </w:rPr>
        <w:t>根据学校办学特色、学科专业特色发展以及学生发展的需求，充分发挥人才培养过程中信息技术的作用，丰富学生的学习资源，实现优质教学资源共享，促进学生主动学习，促进学院和教师对教学工作的投入，学校鼓励建设一批有利于提高教育教学质的优质课程。学校课程建设分为一般课程和特色课程，特色课程是在学校教育教学改革和建设过程中不断丰富发展的全英双语课程、实验实训课程以及校企合作类课程等。</w:t>
      </w:r>
    </w:p>
    <w:p>
      <w:pPr>
        <w:adjustRightInd w:val="0"/>
        <w:snapToGrid w:val="0"/>
        <w:spacing w:line="500" w:lineRule="exact"/>
        <w:ind w:firstLine="602" w:firstLineChars="200"/>
        <w:rPr>
          <w:rFonts w:ascii="黑体" w:eastAsia="黑体" w:cs="Tahoma"/>
          <w:b/>
          <w:snapToGrid w:val="0"/>
          <w:sz w:val="30"/>
          <w:szCs w:val="30"/>
        </w:rPr>
      </w:pPr>
      <w:r>
        <w:rPr>
          <w:rFonts w:hint="eastAsia" w:ascii="黑体" w:eastAsia="黑体" w:cs="Tahoma"/>
          <w:b/>
          <w:snapToGrid w:val="0"/>
          <w:sz w:val="30"/>
          <w:szCs w:val="30"/>
        </w:rPr>
        <w:t>一、申报资格</w:t>
      </w:r>
    </w:p>
    <w:p>
      <w:pPr>
        <w:widowControl/>
        <w:adjustRightInd w:val="0"/>
        <w:snapToGrid w:val="0"/>
        <w:spacing w:line="500" w:lineRule="exact"/>
        <w:ind w:firstLine="600" w:firstLineChars="200"/>
        <w:jc w:val="left"/>
        <w:rPr>
          <w:rFonts w:ascii="仿宋_GB2312" w:hAnsi="Tahoma" w:eastAsia="仿宋_GB2312"/>
          <w:kern w:val="0"/>
          <w:sz w:val="30"/>
          <w:szCs w:val="30"/>
        </w:rPr>
      </w:pPr>
      <w:r>
        <w:rPr>
          <w:rFonts w:hint="eastAsia" w:ascii="仿宋_GB2312" w:hAnsi="Tahoma" w:eastAsia="仿宋_GB2312"/>
          <w:kern w:val="0"/>
          <w:sz w:val="30"/>
          <w:szCs w:val="30"/>
        </w:rPr>
        <w:t>1.各专业培养方案中开设的课程；已列入上海市重点课程建设的课程原则上不列入申报范围；优先支持有一定建设基础、学生受益面较广的通识教育课、学科基础课、专业基础课和特色课程。</w:t>
      </w:r>
    </w:p>
    <w:p>
      <w:pPr>
        <w:widowControl/>
        <w:adjustRightInd w:val="0"/>
        <w:snapToGrid w:val="0"/>
        <w:spacing w:line="500" w:lineRule="exact"/>
        <w:ind w:firstLine="600" w:firstLineChars="200"/>
        <w:jc w:val="left"/>
        <w:rPr>
          <w:rFonts w:ascii="仿宋_GB2312" w:hAnsi="Tahoma" w:eastAsia="仿宋_GB2312"/>
          <w:kern w:val="0"/>
          <w:sz w:val="30"/>
          <w:szCs w:val="30"/>
        </w:rPr>
      </w:pPr>
      <w:r>
        <w:rPr>
          <w:rFonts w:hint="eastAsia" w:ascii="仿宋_GB2312" w:hAnsi="Tahoma" w:eastAsia="仿宋_GB2312"/>
          <w:kern w:val="0"/>
          <w:sz w:val="30"/>
          <w:szCs w:val="30"/>
        </w:rPr>
        <w:t>2.立项建设的课程，原则上为前期建设基础较好、修读学生较多的课程（通识教育类、学科专业基础科类、全英语双语类、实验实训课程类）。</w:t>
      </w:r>
    </w:p>
    <w:p>
      <w:pPr>
        <w:adjustRightInd w:val="0"/>
        <w:snapToGrid w:val="0"/>
        <w:spacing w:line="500" w:lineRule="exact"/>
        <w:ind w:firstLine="602" w:firstLineChars="200"/>
        <w:rPr>
          <w:rFonts w:ascii="黑体" w:eastAsia="黑体" w:cs="Tahoma"/>
          <w:b/>
          <w:snapToGrid w:val="0"/>
          <w:sz w:val="30"/>
          <w:szCs w:val="30"/>
        </w:rPr>
      </w:pPr>
      <w:r>
        <w:rPr>
          <w:rFonts w:hint="eastAsia" w:ascii="黑体" w:eastAsia="黑体" w:cs="Tahoma"/>
          <w:b/>
          <w:snapToGrid w:val="0"/>
          <w:sz w:val="30"/>
          <w:szCs w:val="30"/>
        </w:rPr>
        <w:t>二、申报人要求</w:t>
      </w:r>
    </w:p>
    <w:p>
      <w:pPr>
        <w:widowControl/>
        <w:adjustRightInd w:val="0"/>
        <w:snapToGrid w:val="0"/>
        <w:spacing w:line="500" w:lineRule="exact"/>
        <w:ind w:firstLine="683" w:firstLineChars="228"/>
        <w:jc w:val="left"/>
        <w:rPr>
          <w:rFonts w:ascii="仿宋_GB2312" w:hAnsi="Tahoma" w:eastAsia="仿宋_GB2312"/>
          <w:kern w:val="0"/>
          <w:sz w:val="30"/>
          <w:szCs w:val="30"/>
        </w:rPr>
      </w:pPr>
      <w:r>
        <w:rPr>
          <w:rFonts w:hint="eastAsia" w:ascii="仿宋_GB2312" w:hAnsi="Tahoma" w:eastAsia="仿宋_GB2312"/>
          <w:kern w:val="0"/>
          <w:sz w:val="30"/>
          <w:szCs w:val="30"/>
        </w:rPr>
        <w:t>1.课程建设负责人应是专职专任教师，具有讲师及以上职称或博士学位，并具体从事相关教学工作。原则上课程建设团队人数不少于</w:t>
      </w:r>
      <w:r>
        <w:rPr>
          <w:rFonts w:ascii="仿宋_GB2312" w:hAnsi="Tahoma" w:eastAsia="仿宋_GB2312"/>
          <w:kern w:val="0"/>
          <w:sz w:val="30"/>
          <w:szCs w:val="30"/>
        </w:rPr>
        <w:t>3人</w:t>
      </w:r>
      <w:r>
        <w:rPr>
          <w:rFonts w:hint="eastAsia" w:ascii="仿宋_GB2312" w:hAnsi="Tahoma" w:eastAsia="仿宋_GB2312"/>
          <w:kern w:val="0"/>
          <w:sz w:val="30"/>
          <w:szCs w:val="30"/>
        </w:rPr>
        <w:t>，职称年龄结构合理。</w:t>
      </w:r>
    </w:p>
    <w:p>
      <w:pPr>
        <w:widowControl/>
        <w:adjustRightInd w:val="0"/>
        <w:snapToGrid w:val="0"/>
        <w:spacing w:line="500" w:lineRule="exact"/>
        <w:ind w:firstLine="683" w:firstLineChars="228"/>
        <w:jc w:val="left"/>
        <w:rPr>
          <w:rFonts w:ascii="仿宋_GB2312" w:hAnsi="Tahoma" w:eastAsia="仿宋_GB2312"/>
          <w:kern w:val="0"/>
          <w:sz w:val="30"/>
          <w:szCs w:val="30"/>
        </w:rPr>
      </w:pPr>
      <w:r>
        <w:rPr>
          <w:rFonts w:hint="eastAsia" w:ascii="仿宋_GB2312" w:hAnsi="Tahoma" w:eastAsia="仿宋_GB2312"/>
          <w:kern w:val="0"/>
          <w:sz w:val="30"/>
          <w:szCs w:val="30"/>
        </w:rPr>
        <w:t>2.同一专任教师申报课程的数量原则上不超过1门，拟申报的课程，原则上累计开设</w:t>
      </w:r>
      <w:r>
        <w:rPr>
          <w:rFonts w:hint="eastAsia" w:ascii="仿宋_GB2312" w:hAnsi="Tahoma" w:eastAsia="仿宋_GB2312"/>
          <w:kern w:val="0"/>
          <w:sz w:val="30"/>
          <w:szCs w:val="30"/>
          <w:lang w:val="en-US" w:eastAsia="zh-CN"/>
        </w:rPr>
        <w:t>3</w:t>
      </w:r>
      <w:r>
        <w:rPr>
          <w:rFonts w:hint="eastAsia" w:ascii="仿宋_GB2312" w:hAnsi="Tahoma" w:eastAsia="仿宋_GB2312"/>
          <w:kern w:val="0"/>
          <w:sz w:val="30"/>
          <w:szCs w:val="30"/>
        </w:rPr>
        <w:t>年以上。</w:t>
      </w:r>
    </w:p>
    <w:p>
      <w:pPr>
        <w:widowControl/>
        <w:adjustRightInd w:val="0"/>
        <w:snapToGrid w:val="0"/>
        <w:spacing w:line="500" w:lineRule="exact"/>
        <w:ind w:firstLine="683" w:firstLineChars="228"/>
        <w:jc w:val="left"/>
        <w:rPr>
          <w:rFonts w:ascii="仿宋_GB2312" w:hAnsi="Tahoma" w:eastAsia="仿宋_GB2312"/>
          <w:kern w:val="0"/>
          <w:sz w:val="30"/>
          <w:szCs w:val="30"/>
        </w:rPr>
      </w:pPr>
      <w:r>
        <w:rPr>
          <w:rFonts w:hint="eastAsia" w:ascii="仿宋_GB2312" w:hAnsi="Tahoma" w:eastAsia="仿宋_GB2312"/>
          <w:kern w:val="0"/>
          <w:sz w:val="30"/>
          <w:szCs w:val="30"/>
        </w:rPr>
        <w:t>3.省市级、校级课程建设项目未结项的项目负责人，原则上不能申报。</w:t>
      </w:r>
    </w:p>
    <w:p>
      <w:pPr>
        <w:adjustRightInd w:val="0"/>
        <w:snapToGrid w:val="0"/>
        <w:spacing w:line="500" w:lineRule="exact"/>
        <w:ind w:firstLine="602" w:firstLineChars="200"/>
        <w:rPr>
          <w:rFonts w:ascii="黑体" w:eastAsia="黑体" w:cs="Tahoma"/>
          <w:b/>
          <w:snapToGrid w:val="0"/>
          <w:sz w:val="30"/>
          <w:szCs w:val="30"/>
        </w:rPr>
      </w:pPr>
      <w:r>
        <w:rPr>
          <w:rFonts w:hint="eastAsia" w:ascii="黑体" w:eastAsia="黑体" w:cs="Tahoma"/>
          <w:b/>
          <w:snapToGrid w:val="0"/>
          <w:sz w:val="30"/>
          <w:szCs w:val="30"/>
        </w:rPr>
        <w:t>三、评选和立项办法</w:t>
      </w:r>
    </w:p>
    <w:p>
      <w:pPr>
        <w:widowControl/>
        <w:adjustRightInd w:val="0"/>
        <w:snapToGrid w:val="0"/>
        <w:spacing w:line="500" w:lineRule="exact"/>
        <w:ind w:firstLine="600" w:firstLineChars="200"/>
        <w:jc w:val="left"/>
        <w:rPr>
          <w:rFonts w:ascii="仿宋_GB2312" w:hAnsi="仿宋" w:eastAsia="仿宋_GB2312"/>
          <w:sz w:val="30"/>
          <w:szCs w:val="30"/>
        </w:rPr>
      </w:pPr>
      <w:r>
        <w:rPr>
          <w:rFonts w:hint="eastAsia" w:ascii="仿宋_GB2312" w:hAnsi="仿宋" w:eastAsia="仿宋_GB2312" w:cs="宋体"/>
          <w:kern w:val="0"/>
          <w:sz w:val="30"/>
          <w:szCs w:val="30"/>
        </w:rPr>
        <w:t>请各学院结合</w:t>
      </w:r>
      <w:r>
        <w:rPr>
          <w:rFonts w:hint="eastAsia" w:ascii="仿宋_GB2312" w:hAnsi="仿宋" w:eastAsia="仿宋_GB2312"/>
          <w:sz w:val="30"/>
          <w:szCs w:val="30"/>
        </w:rPr>
        <w:t>本学院课程建设规划和建设基础，并根据学院初审结果，</w:t>
      </w:r>
      <w:r>
        <w:rPr>
          <w:rFonts w:hint="eastAsia" w:ascii="仿宋_GB2312" w:hAnsi="Tahoma" w:eastAsia="仿宋_GB2312"/>
          <w:kern w:val="0"/>
          <w:sz w:val="30"/>
          <w:szCs w:val="30"/>
        </w:rPr>
        <w:t>提供具体评价或推荐意见</w:t>
      </w:r>
      <w:r>
        <w:rPr>
          <w:rFonts w:hint="eastAsia" w:ascii="仿宋_GB2312" w:hAnsi="仿宋" w:eastAsia="仿宋_GB2312"/>
          <w:sz w:val="30"/>
          <w:szCs w:val="30"/>
        </w:rPr>
        <w:t>。教务处将按照相关规定，组织专家评审，择优公布立项课程名单。</w:t>
      </w:r>
    </w:p>
    <w:p>
      <w:pPr>
        <w:widowControl/>
        <w:adjustRightInd w:val="0"/>
        <w:snapToGrid w:val="0"/>
        <w:spacing w:line="500" w:lineRule="exact"/>
        <w:ind w:firstLine="600" w:firstLineChars="200"/>
        <w:jc w:val="left"/>
        <w:rPr>
          <w:rFonts w:ascii="仿宋_GB2312" w:hAnsi="Tahoma" w:eastAsia="仿宋_GB2312"/>
          <w:kern w:val="0"/>
          <w:sz w:val="30"/>
          <w:szCs w:val="30"/>
        </w:rPr>
      </w:pPr>
      <w:r>
        <w:rPr>
          <w:rFonts w:hint="eastAsia" w:ascii="仿宋_GB2312" w:hAnsi="仿宋" w:eastAsia="仿宋_GB2312"/>
          <w:sz w:val="30"/>
          <w:szCs w:val="30"/>
        </w:rPr>
        <w:t>立项</w:t>
      </w:r>
      <w:r>
        <w:rPr>
          <w:rFonts w:hint="eastAsia" w:ascii="仿宋_GB2312" w:hAnsi="Tahoma" w:eastAsia="仿宋_GB2312"/>
          <w:kern w:val="0"/>
          <w:sz w:val="30"/>
          <w:szCs w:val="30"/>
        </w:rPr>
        <w:t>课程建设周期为2年。</w:t>
      </w:r>
    </w:p>
    <w:p>
      <w:pPr>
        <w:widowControl/>
        <w:adjustRightInd w:val="0"/>
        <w:snapToGrid w:val="0"/>
        <w:spacing w:line="500" w:lineRule="exact"/>
        <w:ind w:firstLine="600" w:firstLineChars="200"/>
        <w:jc w:val="left"/>
        <w:rPr>
          <w:rFonts w:ascii="仿宋_GB2312" w:hAnsi="Tahoma" w:eastAsia="仿宋_GB2312"/>
          <w:kern w:val="0"/>
          <w:sz w:val="30"/>
          <w:szCs w:val="30"/>
        </w:rPr>
      </w:pPr>
      <w:r>
        <w:rPr>
          <w:rFonts w:hint="eastAsia" w:ascii="仿宋_GB2312" w:hAnsi="Tahoma" w:eastAsia="仿宋_GB2312"/>
          <w:kern w:val="0"/>
          <w:sz w:val="30"/>
          <w:szCs w:val="30"/>
        </w:rPr>
        <w:t>课程建设经费额度为1-2万/门。</w:t>
      </w:r>
    </w:p>
    <w:p>
      <w:pPr>
        <w:adjustRightInd w:val="0"/>
        <w:snapToGrid w:val="0"/>
        <w:spacing w:line="500" w:lineRule="exact"/>
        <w:ind w:firstLine="602" w:firstLineChars="200"/>
        <w:rPr>
          <w:rFonts w:ascii="黑体" w:eastAsia="黑体" w:cs="Tahoma"/>
          <w:b/>
          <w:snapToGrid w:val="0"/>
          <w:sz w:val="30"/>
          <w:szCs w:val="30"/>
        </w:rPr>
      </w:pPr>
      <w:r>
        <w:rPr>
          <w:rFonts w:hint="eastAsia" w:ascii="黑体" w:eastAsia="黑体" w:cs="Tahoma"/>
          <w:b/>
          <w:snapToGrid w:val="0"/>
          <w:sz w:val="30"/>
          <w:szCs w:val="30"/>
        </w:rPr>
        <w:t>四、项目建设要求</w:t>
      </w:r>
    </w:p>
    <w:p>
      <w:pPr>
        <w:widowControl/>
        <w:adjustRightInd w:val="0"/>
        <w:snapToGrid w:val="0"/>
        <w:spacing w:line="500" w:lineRule="exact"/>
        <w:ind w:firstLine="683" w:firstLineChars="228"/>
        <w:jc w:val="left"/>
        <w:rPr>
          <w:rFonts w:ascii="仿宋_GB2312" w:hAnsi="Tahoma" w:eastAsia="仿宋_GB2312"/>
          <w:kern w:val="0"/>
          <w:sz w:val="30"/>
          <w:szCs w:val="30"/>
        </w:rPr>
      </w:pPr>
      <w:r>
        <w:rPr>
          <w:rFonts w:hint="eastAsia" w:ascii="仿宋_GB2312" w:hAnsi="Tahoma" w:eastAsia="仿宋_GB2312"/>
          <w:kern w:val="0"/>
          <w:sz w:val="30"/>
          <w:szCs w:val="30"/>
        </w:rPr>
        <w:t>1.按照校级课程建设标准开展课程建设项目。</w:t>
      </w:r>
    </w:p>
    <w:p>
      <w:pPr>
        <w:widowControl/>
        <w:adjustRightInd w:val="0"/>
        <w:snapToGrid w:val="0"/>
        <w:spacing w:line="500" w:lineRule="exact"/>
        <w:ind w:firstLine="683" w:firstLineChars="228"/>
        <w:jc w:val="left"/>
        <w:rPr>
          <w:rFonts w:ascii="仿宋_GB2312" w:hAnsi="Tahoma" w:eastAsia="仿宋_GB2312"/>
          <w:kern w:val="0"/>
          <w:sz w:val="30"/>
          <w:szCs w:val="30"/>
        </w:rPr>
      </w:pPr>
      <w:r>
        <w:rPr>
          <w:rFonts w:hint="eastAsia" w:ascii="仿宋_GB2312" w:hAnsi="Tahoma" w:eastAsia="仿宋_GB2312"/>
          <w:kern w:val="0"/>
          <w:sz w:val="30"/>
          <w:szCs w:val="30"/>
        </w:rPr>
        <w:t>2.网络课程要求</w:t>
      </w:r>
    </w:p>
    <w:p>
      <w:pPr>
        <w:widowControl/>
        <w:adjustRightInd w:val="0"/>
        <w:snapToGrid w:val="0"/>
        <w:spacing w:line="500" w:lineRule="exact"/>
        <w:ind w:firstLine="600" w:firstLineChars="200"/>
        <w:jc w:val="left"/>
        <w:rPr>
          <w:rFonts w:ascii="仿宋_GB2312" w:hAnsi="Tahoma" w:eastAsia="仿宋_GB2312"/>
          <w:kern w:val="0"/>
          <w:sz w:val="30"/>
          <w:szCs w:val="30"/>
        </w:rPr>
      </w:pPr>
      <w:r>
        <w:rPr>
          <w:rFonts w:hint="eastAsia" w:ascii="仿宋_GB2312" w:hAnsi="Tahoma" w:eastAsia="仿宋_GB2312"/>
          <w:kern w:val="0"/>
          <w:sz w:val="30"/>
          <w:szCs w:val="30"/>
        </w:rPr>
        <w:t>（1）所有课程建设项目需</w:t>
      </w:r>
      <w:r>
        <w:rPr>
          <w:rFonts w:ascii="仿宋_GB2312" w:hAnsi="Tahoma" w:eastAsia="仿宋_GB2312"/>
          <w:kern w:val="0"/>
          <w:sz w:val="30"/>
          <w:szCs w:val="30"/>
        </w:rPr>
        <w:t>在学校</w:t>
      </w:r>
      <w:r>
        <w:rPr>
          <w:rFonts w:hint="eastAsia" w:ascii="仿宋_GB2312" w:hAnsi="Tahoma" w:eastAsia="仿宋_GB2312"/>
          <w:kern w:val="0"/>
          <w:sz w:val="30"/>
          <w:szCs w:val="30"/>
        </w:rPr>
        <w:t>在线</w:t>
      </w:r>
      <w:r>
        <w:rPr>
          <w:rFonts w:ascii="仿宋_GB2312" w:hAnsi="Tahoma" w:eastAsia="仿宋_GB2312"/>
          <w:kern w:val="0"/>
          <w:sz w:val="30"/>
          <w:szCs w:val="30"/>
        </w:rPr>
        <w:t>课程平台建设课程</w:t>
      </w:r>
      <w:r>
        <w:rPr>
          <w:rFonts w:hint="eastAsia" w:ascii="仿宋_GB2312" w:hAnsi="Tahoma" w:eastAsia="仿宋_GB2312"/>
          <w:kern w:val="0"/>
          <w:sz w:val="30"/>
          <w:szCs w:val="30"/>
        </w:rPr>
        <w:t>，需将相关材料上传到网络平台，包括</w:t>
      </w:r>
      <w:r>
        <w:rPr>
          <w:rFonts w:ascii="仿宋_GB2312" w:hAnsi="Tahoma" w:eastAsia="仿宋_GB2312"/>
          <w:kern w:val="0"/>
          <w:sz w:val="30"/>
          <w:szCs w:val="30"/>
        </w:rPr>
        <w:t>完整、规范的教学文件（含课程简介、教学大纲、教案、讲义、教学日历</w:t>
      </w:r>
      <w:r>
        <w:rPr>
          <w:rFonts w:hint="eastAsia" w:ascii="仿宋_GB2312" w:hAnsi="Tahoma" w:eastAsia="仿宋_GB2312"/>
          <w:kern w:val="0"/>
          <w:sz w:val="30"/>
          <w:szCs w:val="30"/>
        </w:rPr>
        <w:t>、课件等</w:t>
      </w:r>
      <w:r>
        <w:rPr>
          <w:rFonts w:ascii="仿宋_GB2312" w:hAnsi="Tahoma" w:eastAsia="仿宋_GB2312"/>
          <w:kern w:val="0"/>
          <w:sz w:val="30"/>
          <w:szCs w:val="30"/>
        </w:rPr>
        <w:t>），教辅材料和教学档案（含教材/参考书、作业、试卷、历年开课信息、相关建设项目档案等）</w:t>
      </w:r>
      <w:r>
        <w:rPr>
          <w:rFonts w:hint="eastAsia" w:ascii="仿宋_GB2312" w:hAnsi="Tahoma" w:eastAsia="仿宋_GB2312"/>
          <w:kern w:val="0"/>
          <w:sz w:val="30"/>
          <w:szCs w:val="30"/>
        </w:rPr>
        <w:t>、研究成果等，充分运用在线平台与学生互动交流，辅助教学。其中，实践实训课程，还需要提交实验实训教学大纲、实验实训指导书、课件、其他案例素材等材料。</w:t>
      </w:r>
    </w:p>
    <w:p>
      <w:pPr>
        <w:widowControl/>
        <w:adjustRightInd w:val="0"/>
        <w:snapToGrid w:val="0"/>
        <w:spacing w:line="500" w:lineRule="exact"/>
        <w:ind w:firstLine="600" w:firstLineChars="200"/>
        <w:jc w:val="left"/>
        <w:rPr>
          <w:rFonts w:ascii="仿宋_GB2312" w:hAnsi="华文仿宋" w:eastAsia="仿宋_GB2312"/>
          <w:sz w:val="30"/>
          <w:szCs w:val="30"/>
        </w:rPr>
      </w:pPr>
      <w:r>
        <w:rPr>
          <w:rFonts w:hint="eastAsia" w:ascii="仿宋_GB2312" w:hAnsi="Tahoma" w:eastAsia="仿宋_GB2312"/>
          <w:kern w:val="0"/>
          <w:sz w:val="30"/>
          <w:szCs w:val="30"/>
        </w:rPr>
        <w:t>（2）在线课程建设（特色课程）</w:t>
      </w:r>
      <w:r>
        <w:rPr>
          <w:rFonts w:ascii="仿宋_GB2312" w:hAnsi="Tahoma" w:eastAsia="仿宋_GB2312"/>
          <w:kern w:val="0"/>
          <w:sz w:val="30"/>
          <w:szCs w:val="30"/>
        </w:rPr>
        <w:t>需制作课程视频</w:t>
      </w:r>
      <w:r>
        <w:rPr>
          <w:rFonts w:hint="eastAsia" w:ascii="仿宋_GB2312" w:hAnsi="华文仿宋" w:eastAsia="仿宋_GB2312"/>
          <w:sz w:val="30"/>
          <w:szCs w:val="30"/>
        </w:rPr>
        <w:t>（每个视频以不超过15分钟为宜）</w:t>
      </w:r>
      <w:r>
        <w:rPr>
          <w:rFonts w:ascii="仿宋_GB2312" w:hAnsi="Tahoma" w:eastAsia="仿宋_GB2312"/>
          <w:kern w:val="0"/>
          <w:sz w:val="30"/>
          <w:szCs w:val="30"/>
        </w:rPr>
        <w:t>，并在学校网络课程平台完成上线</w:t>
      </w:r>
      <w:r>
        <w:rPr>
          <w:rFonts w:hint="eastAsia" w:ascii="仿宋_GB2312" w:hAnsi="Tahoma" w:eastAsia="仿宋_GB2312"/>
          <w:kern w:val="0"/>
          <w:sz w:val="30"/>
          <w:szCs w:val="30"/>
        </w:rPr>
        <w:t>，</w:t>
      </w:r>
      <w:r>
        <w:rPr>
          <w:rFonts w:hint="eastAsia" w:ascii="仿宋_GB2312" w:hAnsi="华文仿宋" w:eastAsia="仿宋_GB2312"/>
          <w:sz w:val="30"/>
          <w:szCs w:val="30"/>
        </w:rPr>
        <w:t>基于教学视频设计系列学习任务，提供多媒体学习资源（电子图书、图片、视频、PPT等），设计和加强在线或线下主题讨论，通过完整的学习任务管理环节设计、驱动学生系统地完成课程学习任务。其中，在线学习资源（教学视频）以提供课程的基本内容知识为主，在线讨论、线下答疑指导等重在针对学生学习的难点、课程知识的应用展开，形成在线学习与在线讨论、线下指导有机衔接、充分互动的学习系统。</w:t>
      </w:r>
      <w:r>
        <w:rPr>
          <w:rFonts w:ascii="仿宋_GB2312" w:hAnsi="Tahoma" w:eastAsia="仿宋_GB2312"/>
          <w:kern w:val="0"/>
          <w:sz w:val="30"/>
          <w:szCs w:val="30"/>
        </w:rPr>
        <w:t>需以同名课程实际开课。</w:t>
      </w:r>
    </w:p>
    <w:p>
      <w:pPr>
        <w:adjustRightInd w:val="0"/>
        <w:snapToGrid w:val="0"/>
        <w:spacing w:line="500" w:lineRule="exact"/>
        <w:ind w:firstLine="602" w:firstLineChars="200"/>
        <w:rPr>
          <w:rFonts w:ascii="黑体" w:eastAsia="黑体" w:cs="Tahoma"/>
          <w:b/>
          <w:snapToGrid w:val="0"/>
          <w:sz w:val="30"/>
          <w:szCs w:val="30"/>
        </w:rPr>
      </w:pPr>
      <w:r>
        <w:rPr>
          <w:rFonts w:hint="eastAsia" w:ascii="黑体" w:eastAsia="黑体" w:cs="Tahoma"/>
          <w:b/>
          <w:snapToGrid w:val="0"/>
          <w:sz w:val="30"/>
          <w:szCs w:val="30"/>
        </w:rPr>
        <w:t>五、项目验收要求</w:t>
      </w:r>
    </w:p>
    <w:p>
      <w:pPr>
        <w:widowControl/>
        <w:adjustRightInd w:val="0"/>
        <w:snapToGrid w:val="0"/>
        <w:spacing w:line="500" w:lineRule="exact"/>
        <w:ind w:firstLine="600" w:firstLineChars="200"/>
        <w:jc w:val="left"/>
        <w:rPr>
          <w:rFonts w:ascii="仿宋_GB2312" w:hAnsi="宋体" w:eastAsia="仿宋_GB2312"/>
          <w:snapToGrid w:val="0"/>
          <w:kern w:val="0"/>
          <w:position w:val="2"/>
          <w:sz w:val="32"/>
          <w:szCs w:val="32"/>
        </w:rPr>
      </w:pPr>
      <w:r>
        <w:rPr>
          <w:rFonts w:hint="eastAsia" w:ascii="仿宋_GB2312" w:hAnsi="Tahoma" w:eastAsia="仿宋_GB2312"/>
          <w:kern w:val="0"/>
          <w:sz w:val="30"/>
          <w:szCs w:val="30"/>
        </w:rPr>
        <w:t>项目通过中期检查和结题验收实施过程管理。结题验收将请校内外专家按照校级课程建设标准，</w:t>
      </w:r>
      <w:r>
        <w:rPr>
          <w:rFonts w:hint="eastAsia" w:ascii="仿宋_GB2312" w:hAnsi="仿宋" w:eastAsia="仿宋_GB2312"/>
          <w:sz w:val="30"/>
          <w:szCs w:val="30"/>
        </w:rPr>
        <w:t>从课程的目标完成情况、取得的成果、教学效果、建设经费的使用情况等方面考核绩效成果。</w:t>
      </w:r>
    </w:p>
    <w:p>
      <w:pPr>
        <w:widowControl/>
        <w:snapToGrid w:val="0"/>
        <w:spacing w:line="500" w:lineRule="exact"/>
        <w:jc w:val="left"/>
        <w:rPr>
          <w:rFonts w:ascii="仿宋_GB2312" w:hAnsi="宋体" w:eastAsia="仿宋_GB2312"/>
          <w:snapToGrid w:val="0"/>
          <w:kern w:val="0"/>
          <w:position w:val="2"/>
          <w:sz w:val="32"/>
          <w:szCs w:val="32"/>
        </w:rPr>
      </w:pPr>
      <w:bookmarkStart w:id="0" w:name="_GoBack"/>
      <w:bookmarkEnd w:id="0"/>
    </w:p>
    <w:p>
      <w:pPr>
        <w:widowControl/>
        <w:snapToGrid w:val="0"/>
        <w:spacing w:line="500" w:lineRule="exact"/>
        <w:jc w:val="left"/>
        <w:rPr>
          <w:rFonts w:ascii="仿宋_GB2312" w:hAnsi="宋体" w:eastAsia="仿宋_GB2312"/>
          <w:snapToGrid w:val="0"/>
          <w:kern w:val="0"/>
          <w:position w:val="2"/>
          <w:sz w:val="32"/>
          <w:szCs w:val="32"/>
        </w:rPr>
      </w:pPr>
    </w:p>
    <w:p>
      <w:pPr>
        <w:spacing w:line="500" w:lineRule="exact"/>
        <w:ind w:firstLine="5100" w:firstLineChars="1700"/>
        <w:rPr>
          <w:rFonts w:hint="eastAsia" w:ascii="仿宋" w:hAnsi="仿宋" w:eastAsia="仿宋"/>
          <w:sz w:val="30"/>
          <w:szCs w:val="30"/>
        </w:rPr>
      </w:pPr>
      <w:r>
        <w:rPr>
          <w:rFonts w:hint="eastAsia" w:ascii="仿宋" w:hAnsi="仿宋" w:eastAsia="仿宋"/>
          <w:sz w:val="30"/>
          <w:szCs w:val="30"/>
        </w:rPr>
        <w:t>上外贤达学院教务处</w:t>
      </w:r>
    </w:p>
    <w:p>
      <w:pPr>
        <w:spacing w:line="500" w:lineRule="exact"/>
        <w:rPr>
          <w:rFonts w:hint="eastAsia"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二〇</w:t>
      </w:r>
      <w:r>
        <w:rPr>
          <w:rFonts w:hint="eastAsia" w:ascii="仿宋" w:hAnsi="仿宋" w:eastAsia="仿宋"/>
          <w:sz w:val="30"/>
          <w:szCs w:val="30"/>
          <w:lang w:val="en-US" w:eastAsia="zh-CN"/>
        </w:rPr>
        <w:t>二三</w:t>
      </w:r>
      <w:r>
        <w:rPr>
          <w:rFonts w:hint="eastAsia" w:ascii="仿宋" w:hAnsi="仿宋" w:eastAsia="仿宋"/>
          <w:sz w:val="30"/>
          <w:szCs w:val="30"/>
        </w:rPr>
        <w:t>年</w:t>
      </w:r>
      <w:r>
        <w:rPr>
          <w:rFonts w:hint="eastAsia" w:ascii="仿宋" w:hAnsi="仿宋" w:eastAsia="仿宋"/>
          <w:sz w:val="30"/>
          <w:szCs w:val="30"/>
          <w:lang w:val="en-US" w:eastAsia="zh-CN"/>
        </w:rPr>
        <w:t>六</w:t>
      </w:r>
      <w:r>
        <w:rPr>
          <w:rFonts w:hint="eastAsia" w:ascii="仿宋" w:hAnsi="仿宋" w:eastAsia="仿宋"/>
          <w:sz w:val="30"/>
          <w:szCs w:val="30"/>
        </w:rPr>
        <w:t>月</w:t>
      </w:r>
      <w:r>
        <w:rPr>
          <w:rFonts w:hint="eastAsia" w:ascii="仿宋" w:hAnsi="仿宋" w:eastAsia="仿宋"/>
          <w:sz w:val="30"/>
          <w:szCs w:val="30"/>
          <w:lang w:val="en-US" w:eastAsia="zh-CN"/>
        </w:rPr>
        <w:t>五</w:t>
      </w:r>
      <w:r>
        <w:rPr>
          <w:rFonts w:hint="eastAsia" w:ascii="仿宋" w:hAnsi="仿宋" w:eastAsia="仿宋"/>
          <w:sz w:val="30"/>
          <w:szCs w:val="30"/>
        </w:rPr>
        <w:t>日</w:t>
      </w:r>
    </w:p>
    <w:p>
      <w:pPr>
        <w:widowControl/>
        <w:snapToGrid w:val="0"/>
        <w:spacing w:line="500" w:lineRule="exact"/>
        <w:jc w:val="left"/>
        <w:rPr>
          <w:rFonts w:ascii="仿宋_GB2312" w:hAnsi="宋体" w:eastAsia="仿宋_GB2312"/>
          <w:snapToGrid w:val="0"/>
          <w:kern w:val="0"/>
          <w:position w:val="2"/>
          <w:sz w:val="32"/>
          <w:szCs w:val="32"/>
        </w:rPr>
      </w:pPr>
    </w:p>
    <w:p>
      <w:pPr>
        <w:widowControl/>
        <w:snapToGrid w:val="0"/>
        <w:spacing w:line="500" w:lineRule="exact"/>
        <w:jc w:val="left"/>
        <w:rPr>
          <w:rFonts w:ascii="仿宋_GB2312" w:hAnsi="宋体" w:eastAsia="仿宋_GB2312"/>
          <w:snapToGrid w:val="0"/>
          <w:kern w:val="0"/>
          <w:position w:val="2"/>
          <w:sz w:val="32"/>
          <w:szCs w:val="32"/>
        </w:rPr>
      </w:pPr>
    </w:p>
    <w:p>
      <w:pPr>
        <w:widowControl/>
        <w:snapToGrid w:val="0"/>
        <w:spacing w:line="500" w:lineRule="exact"/>
        <w:jc w:val="left"/>
        <w:rPr>
          <w:rFonts w:ascii="仿宋_GB2312" w:hAnsi="宋体" w:eastAsia="仿宋_GB2312"/>
          <w:snapToGrid w:val="0"/>
          <w:kern w:val="0"/>
          <w:position w:val="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NhZjdmMWUxNjdlNjRhYjg1YWQ4NTJkMmZlOTFlZTgifQ=="/>
  </w:docVars>
  <w:rsids>
    <w:rsidRoot w:val="604A4DB8"/>
    <w:rsid w:val="00014AA0"/>
    <w:rsid w:val="001400F7"/>
    <w:rsid w:val="0019228B"/>
    <w:rsid w:val="003B2000"/>
    <w:rsid w:val="00475A5A"/>
    <w:rsid w:val="005A7862"/>
    <w:rsid w:val="008040AE"/>
    <w:rsid w:val="00806902"/>
    <w:rsid w:val="00807691"/>
    <w:rsid w:val="0092471C"/>
    <w:rsid w:val="009C5AE3"/>
    <w:rsid w:val="00AB2552"/>
    <w:rsid w:val="00B3631F"/>
    <w:rsid w:val="00BF145F"/>
    <w:rsid w:val="00F84945"/>
    <w:rsid w:val="00FE2DB8"/>
    <w:rsid w:val="034C6FCD"/>
    <w:rsid w:val="03A62F1F"/>
    <w:rsid w:val="055C389D"/>
    <w:rsid w:val="07F660B4"/>
    <w:rsid w:val="0D2F5E3F"/>
    <w:rsid w:val="14247E50"/>
    <w:rsid w:val="163352AF"/>
    <w:rsid w:val="167F477C"/>
    <w:rsid w:val="199E721A"/>
    <w:rsid w:val="1B850245"/>
    <w:rsid w:val="1BDD0DD4"/>
    <w:rsid w:val="1D984A16"/>
    <w:rsid w:val="28C60876"/>
    <w:rsid w:val="29772BE7"/>
    <w:rsid w:val="2B2518C7"/>
    <w:rsid w:val="2C420E1B"/>
    <w:rsid w:val="40254EA0"/>
    <w:rsid w:val="45647207"/>
    <w:rsid w:val="46CF3849"/>
    <w:rsid w:val="4A2511C5"/>
    <w:rsid w:val="4B7933A7"/>
    <w:rsid w:val="4C786D57"/>
    <w:rsid w:val="4E7B30E2"/>
    <w:rsid w:val="516060DB"/>
    <w:rsid w:val="60107613"/>
    <w:rsid w:val="604A4DB8"/>
    <w:rsid w:val="620D3F35"/>
    <w:rsid w:val="62DA0492"/>
    <w:rsid w:val="668E6ADA"/>
    <w:rsid w:val="67677582"/>
    <w:rsid w:val="691756AC"/>
    <w:rsid w:val="6A795A4D"/>
    <w:rsid w:val="6E640635"/>
    <w:rsid w:val="70231216"/>
    <w:rsid w:val="70253BF2"/>
    <w:rsid w:val="705E5737"/>
    <w:rsid w:val="74D85FD2"/>
    <w:rsid w:val="794A1586"/>
    <w:rsid w:val="7ADD7F3C"/>
    <w:rsid w:val="7D72602C"/>
    <w:rsid w:val="7E1E2F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annotation reference"/>
    <w:basedOn w:val="6"/>
    <w:qFormat/>
    <w:uiPriority w:val="0"/>
    <w:rPr>
      <w:sz w:val="21"/>
      <w:szCs w:val="21"/>
    </w:rPr>
  </w:style>
  <w:style w:type="character" w:customStyle="1" w:styleId="9">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1201</Words>
  <Characters>1213</Characters>
  <Lines>9</Lines>
  <Paragraphs>2</Paragraphs>
  <TotalTime>5</TotalTime>
  <ScaleCrop>false</ScaleCrop>
  <LinksUpToDate>false</LinksUpToDate>
  <CharactersWithSpaces>1247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2017-12-14T00:55:00Z</dcterms:created>
  <dc:creator>lenovo</dc:creator>
  <cp:lastModifiedBy>马</cp:lastModifiedBy>
  <dcterms:modified xsi:type="dcterms:W3CDTF">2023-06-05T01:42:32Z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21DEC33A3FB941E0A8FB9DA804DB2FEF_12</vt:lpwstr>
  </property>
</Properties>
</file>